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B7B97C">
      <w:pPr>
        <w:pStyle w:val="36"/>
        <w:spacing w:before="120" w:beforeAutospacing="0" w:after="120" w:afterAutospacing="0" w:line="360" w:lineRule="auto"/>
        <w:rPr>
          <w:rFonts w:hint="eastAsia" w:asciiTheme="majorEastAsia" w:hAnsiTheme="majorEastAsia" w:eastAsiaTheme="majorEastAsia" w:cstheme="majorEastAsia"/>
          <w:b/>
          <w:color w:val="auto"/>
          <w:sz w:val="84"/>
          <w:szCs w:val="84"/>
          <w:highlight w:val="none"/>
        </w:rPr>
      </w:pPr>
      <w:r>
        <w:rPr>
          <w:color w:val="auto"/>
          <w:highlight w:val="none"/>
        </w:rPr>
        <w:t> </w:t>
      </w:r>
    </w:p>
    <w:p w14:paraId="7B77EA8B">
      <w:pPr>
        <w:pStyle w:val="36"/>
        <w:spacing w:before="120" w:beforeAutospacing="0" w:after="120" w:afterAutospacing="0" w:line="360" w:lineRule="auto"/>
        <w:jc w:val="both"/>
        <w:rPr>
          <w:rFonts w:hint="eastAsia" w:asciiTheme="majorEastAsia" w:hAnsiTheme="majorEastAsia" w:eastAsiaTheme="majorEastAsia" w:cstheme="majorEastAsia"/>
          <w:b/>
          <w:color w:val="auto"/>
          <w:sz w:val="84"/>
          <w:szCs w:val="84"/>
          <w:highlight w:val="none"/>
        </w:rPr>
      </w:pPr>
    </w:p>
    <w:p w14:paraId="06001330">
      <w:pPr>
        <w:pStyle w:val="36"/>
        <w:spacing w:before="120" w:beforeAutospacing="0" w:after="120" w:afterAutospacing="0" w:line="360" w:lineRule="auto"/>
        <w:jc w:val="center"/>
        <w:rPr>
          <w:rFonts w:hint="eastAsia" w:asciiTheme="majorEastAsia" w:hAnsiTheme="majorEastAsia" w:eastAsiaTheme="majorEastAsia" w:cstheme="majorEastAsia"/>
          <w:b/>
          <w:color w:val="auto"/>
          <w:sz w:val="84"/>
          <w:szCs w:val="84"/>
          <w:highlight w:val="none"/>
        </w:rPr>
      </w:pPr>
      <w:r>
        <w:rPr>
          <w:rFonts w:hint="eastAsia" w:asciiTheme="majorEastAsia" w:hAnsiTheme="majorEastAsia" w:eastAsiaTheme="majorEastAsia" w:cstheme="majorEastAsia"/>
          <w:b/>
          <w:color w:val="auto"/>
          <w:sz w:val="84"/>
          <w:szCs w:val="84"/>
          <w:highlight w:val="none"/>
        </w:rPr>
        <w:t>招 标 文 件</w:t>
      </w:r>
    </w:p>
    <w:p w14:paraId="33ED3041">
      <w:pPr>
        <w:pStyle w:val="36"/>
        <w:spacing w:before="120" w:beforeAutospacing="0" w:after="120" w:afterAutospacing="0" w:line="360" w:lineRule="auto"/>
        <w:jc w:val="both"/>
        <w:rPr>
          <w:rFonts w:hint="eastAsia" w:asciiTheme="majorEastAsia" w:hAnsiTheme="majorEastAsia" w:eastAsiaTheme="majorEastAsia" w:cstheme="majorEastAsia"/>
          <w:b/>
          <w:color w:val="auto"/>
          <w:sz w:val="84"/>
          <w:szCs w:val="84"/>
          <w:highlight w:val="none"/>
        </w:rPr>
      </w:pPr>
    </w:p>
    <w:p w14:paraId="5E8E8388">
      <w:pPr>
        <w:pStyle w:val="36"/>
        <w:spacing w:before="120" w:beforeAutospacing="0" w:after="120" w:afterAutospacing="0" w:line="360" w:lineRule="auto"/>
        <w:jc w:val="both"/>
        <w:rPr>
          <w:rFonts w:hint="eastAsia" w:asciiTheme="majorEastAsia" w:hAnsiTheme="majorEastAsia" w:eastAsiaTheme="majorEastAsia" w:cstheme="majorEastAsia"/>
          <w:b/>
          <w:color w:val="auto"/>
          <w:sz w:val="84"/>
          <w:szCs w:val="84"/>
          <w:highlight w:val="none"/>
        </w:rPr>
      </w:pPr>
    </w:p>
    <w:p w14:paraId="6A0CA75D">
      <w:pPr>
        <w:pStyle w:val="36"/>
        <w:spacing w:before="120" w:beforeAutospacing="0" w:after="120" w:afterAutospacing="0" w:line="360" w:lineRule="auto"/>
        <w:ind w:firstLine="1606"/>
        <w:rPr>
          <w:rFonts w:hint="eastAsia" w:asciiTheme="majorEastAsia" w:hAnsiTheme="majorEastAsia" w:eastAsiaTheme="majorEastAsia" w:cstheme="majorEastAsia"/>
          <w:b/>
          <w:color w:val="auto"/>
          <w:sz w:val="32"/>
          <w:szCs w:val="32"/>
          <w:highlight w:val="none"/>
          <w:lang w:val="en-US" w:eastAsia="zh-CN"/>
        </w:rPr>
      </w:pPr>
      <w:r>
        <w:rPr>
          <w:rFonts w:hint="eastAsia" w:asciiTheme="majorEastAsia" w:hAnsiTheme="majorEastAsia" w:eastAsiaTheme="majorEastAsia" w:cstheme="majorEastAsia"/>
          <w:b/>
          <w:color w:val="auto"/>
          <w:sz w:val="32"/>
          <w:szCs w:val="32"/>
          <w:highlight w:val="none"/>
        </w:rPr>
        <w:t>项目名称：</w:t>
      </w:r>
      <w:r>
        <w:rPr>
          <w:rFonts w:hint="eastAsia" w:asciiTheme="majorEastAsia" w:hAnsiTheme="majorEastAsia" w:eastAsiaTheme="majorEastAsia" w:cstheme="majorEastAsia"/>
          <w:b/>
          <w:color w:val="auto"/>
          <w:sz w:val="32"/>
          <w:szCs w:val="32"/>
          <w:highlight w:val="none"/>
          <w:lang w:val="en-US" w:eastAsia="zh-CN"/>
        </w:rPr>
        <w:t xml:space="preserve">2025年11月-2027年11月大洋街道辖区公厕管护服务采购项目    </w:t>
      </w:r>
    </w:p>
    <w:p w14:paraId="0DABDBDD">
      <w:pPr>
        <w:pStyle w:val="36"/>
        <w:spacing w:before="120" w:beforeAutospacing="0" w:after="120" w:afterAutospacing="0" w:line="360" w:lineRule="auto"/>
        <w:ind w:firstLine="1606"/>
        <w:rPr>
          <w:rFonts w:hint="eastAsia" w:eastAsia="宋体" w:asciiTheme="majorEastAsia" w:hAnsiTheme="majorEastAsia" w:cstheme="majorEastAsia"/>
          <w:b/>
          <w:color w:val="auto"/>
          <w:sz w:val="32"/>
          <w:szCs w:val="32"/>
          <w:highlight w:val="none"/>
          <w:lang w:eastAsia="zh-CN"/>
        </w:rPr>
      </w:pPr>
      <w:r>
        <w:rPr>
          <w:rFonts w:hint="eastAsia" w:asciiTheme="majorEastAsia" w:hAnsiTheme="majorEastAsia" w:eastAsiaTheme="majorEastAsia" w:cstheme="majorEastAsia"/>
          <w:b/>
          <w:color w:val="auto"/>
          <w:sz w:val="32"/>
          <w:szCs w:val="32"/>
          <w:highlight w:val="none"/>
        </w:rPr>
        <w:t>项目编号：JSZC-320902-CJZJ-G2025-0003</w:t>
      </w:r>
    </w:p>
    <w:p w14:paraId="095C98F7">
      <w:pPr>
        <w:pStyle w:val="36"/>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2D42BCF1">
      <w:pPr>
        <w:pStyle w:val="36"/>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444DFD5E">
      <w:pPr>
        <w:pStyle w:val="36"/>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0A02F59C">
      <w:pPr>
        <w:pStyle w:val="36"/>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5C593457">
      <w:pPr>
        <w:pStyle w:val="36"/>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65CCD241">
      <w:pPr>
        <w:pStyle w:val="36"/>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5F5D3144">
      <w:pPr>
        <w:pStyle w:val="36"/>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BB10E8D">
      <w:pPr>
        <w:widowControl/>
        <w:spacing w:before="240" w:after="240"/>
        <w:jc w:val="center"/>
        <w:textAlignment w:val="baseline"/>
        <w:rPr>
          <w:rFonts w:hint="eastAsia" w:asciiTheme="majorEastAsia" w:hAnsiTheme="majorEastAsia" w:eastAsiaTheme="majorEastAsia" w:cstheme="majorEastAsia"/>
          <w:b/>
          <w:color w:val="auto"/>
          <w:sz w:val="32"/>
          <w:szCs w:val="32"/>
          <w:highlight w:val="none"/>
          <w:lang w:val="en-US" w:eastAsia="zh-CN"/>
        </w:rPr>
      </w:pPr>
      <w:r>
        <w:rPr>
          <w:rFonts w:hint="eastAsia" w:asciiTheme="majorEastAsia" w:hAnsiTheme="majorEastAsia" w:eastAsiaTheme="majorEastAsia" w:cstheme="majorEastAsia"/>
          <w:b/>
          <w:color w:val="auto"/>
          <w:sz w:val="32"/>
          <w:szCs w:val="32"/>
          <w:highlight w:val="none"/>
          <w:lang w:val="en-US" w:eastAsia="zh-CN"/>
        </w:rPr>
        <w:t>采购单位：</w:t>
      </w:r>
      <w:r>
        <w:rPr>
          <w:rFonts w:hint="eastAsia" w:ascii="宋体" w:hAnsi="宋体" w:eastAsia="宋体" w:cs="宋体"/>
          <w:b/>
          <w:color w:val="auto"/>
          <w:kern w:val="0"/>
          <w:sz w:val="32"/>
          <w:szCs w:val="32"/>
          <w:highlight w:val="none"/>
          <w:lang w:val="zh-CN"/>
        </w:rPr>
        <w:t>盐城市亭湖区人民政府大洋街道办事处</w:t>
      </w:r>
    </w:p>
    <w:p w14:paraId="4FBCBDFF">
      <w:pPr>
        <w:pStyle w:val="36"/>
        <w:spacing w:before="120" w:beforeAutospacing="0" w:after="120" w:afterAutospacing="0" w:line="360" w:lineRule="auto"/>
        <w:jc w:val="center"/>
        <w:rPr>
          <w:rFonts w:hint="default" w:asciiTheme="majorEastAsia" w:hAnsiTheme="majorEastAsia" w:eastAsiaTheme="majorEastAsia" w:cstheme="majorEastAsia"/>
          <w:color w:val="auto"/>
          <w:highlight w:val="none"/>
          <w:u w:val="none"/>
          <w:lang w:val="en-US" w:eastAsia="zh-CN"/>
        </w:rPr>
      </w:pPr>
      <w:r>
        <w:rPr>
          <w:rFonts w:hint="eastAsia" w:asciiTheme="majorEastAsia" w:hAnsiTheme="majorEastAsia" w:eastAsiaTheme="majorEastAsia" w:cstheme="majorEastAsia"/>
          <w:b/>
          <w:color w:val="auto"/>
          <w:sz w:val="32"/>
          <w:szCs w:val="32"/>
          <w:highlight w:val="none"/>
          <w:u w:val="none"/>
          <w:lang w:val="en-US" w:eastAsia="zh-CN"/>
        </w:rPr>
        <w:t>2025</w:t>
      </w:r>
      <w:r>
        <w:rPr>
          <w:rFonts w:hint="eastAsia" w:asciiTheme="majorEastAsia" w:hAnsiTheme="majorEastAsia" w:eastAsiaTheme="majorEastAsia" w:cstheme="majorEastAsia"/>
          <w:b/>
          <w:color w:val="auto"/>
          <w:sz w:val="32"/>
          <w:szCs w:val="32"/>
          <w:highlight w:val="none"/>
          <w:u w:val="none"/>
        </w:rPr>
        <w:t>年</w:t>
      </w:r>
      <w:r>
        <w:rPr>
          <w:rFonts w:hint="eastAsia" w:asciiTheme="majorEastAsia" w:hAnsiTheme="majorEastAsia" w:eastAsiaTheme="majorEastAsia" w:cstheme="majorEastAsia"/>
          <w:b/>
          <w:color w:val="auto"/>
          <w:sz w:val="32"/>
          <w:szCs w:val="32"/>
          <w:highlight w:val="none"/>
          <w:u w:val="none"/>
          <w:lang w:val="en-US" w:eastAsia="zh-CN"/>
        </w:rPr>
        <w:t>11</w:t>
      </w:r>
      <w:r>
        <w:rPr>
          <w:rFonts w:hint="eastAsia" w:asciiTheme="majorEastAsia" w:hAnsiTheme="majorEastAsia" w:eastAsiaTheme="majorEastAsia" w:cstheme="majorEastAsia"/>
          <w:b/>
          <w:color w:val="auto"/>
          <w:sz w:val="32"/>
          <w:szCs w:val="32"/>
          <w:highlight w:val="none"/>
          <w:u w:val="none"/>
        </w:rPr>
        <w:t>月</w:t>
      </w:r>
    </w:p>
    <w:p w14:paraId="4A3CC62C">
      <w:pPr>
        <w:pStyle w:val="36"/>
        <w:spacing w:before="120" w:beforeAutospacing="0" w:after="12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p>
    <w:p w14:paraId="01774C02">
      <w:pPr>
        <w:pStyle w:val="36"/>
        <w:spacing w:before="120" w:beforeAutospacing="0" w:after="120" w:afterAutospacing="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br w:type="page" w:clear="all"/>
      </w:r>
      <w:r>
        <w:rPr>
          <w:rFonts w:hint="eastAsia" w:asciiTheme="majorEastAsia" w:hAnsiTheme="majorEastAsia" w:eastAsiaTheme="majorEastAsia" w:cstheme="majorEastAsia"/>
          <w:color w:val="auto"/>
          <w:sz w:val="21"/>
          <w:szCs w:val="21"/>
          <w:highlight w:val="none"/>
        </w:rPr>
        <w:t> </w:t>
      </w:r>
      <w:bookmarkStart w:id="0" w:name="_Toc20823272"/>
      <w:bookmarkStart w:id="1" w:name="_Toc16938516"/>
      <w:bookmarkStart w:id="2" w:name="_Toc479757206"/>
      <w:bookmarkStart w:id="3" w:name="_Toc523127445"/>
      <w:bookmarkStart w:id="4" w:name="_Toc120614210"/>
      <w:bookmarkStart w:id="5" w:name="_Toc513029200"/>
    </w:p>
    <w:p w14:paraId="343999AB">
      <w:pPr>
        <w:pStyle w:val="36"/>
        <w:spacing w:beforeAutospacing="0" w:afterAutospacing="0" w:line="48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1"/>
          <w:szCs w:val="21"/>
          <w:highlight w:val="none"/>
        </w:rPr>
        <w:t> </w:t>
      </w:r>
      <w:r>
        <w:rPr>
          <w:rFonts w:hint="eastAsia" w:asciiTheme="majorEastAsia" w:hAnsiTheme="majorEastAsia" w:eastAsiaTheme="majorEastAsia" w:cstheme="majorEastAsia"/>
          <w:b/>
          <w:color w:val="auto"/>
          <w:sz w:val="44"/>
          <w:szCs w:val="44"/>
          <w:highlight w:val="none"/>
        </w:rPr>
        <w:t>总  目  录</w:t>
      </w:r>
      <w:bookmarkEnd w:id="0"/>
      <w:bookmarkEnd w:id="1"/>
      <w:bookmarkEnd w:id="2"/>
      <w:bookmarkEnd w:id="3"/>
      <w:bookmarkEnd w:id="4"/>
      <w:bookmarkEnd w:id="5"/>
    </w:p>
    <w:p w14:paraId="57190FC8">
      <w:pPr>
        <w:pStyle w:val="36"/>
        <w:spacing w:beforeAutospacing="0" w:afterAutospacing="0" w:line="48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67FF127">
      <w:pPr>
        <w:pStyle w:val="36"/>
        <w:tabs>
          <w:tab w:val="left" w:pos="1441"/>
        </w:tabs>
        <w:spacing w:beforeAutospacing="0" w:afterAutospacing="0" w:line="480" w:lineRule="auto"/>
        <w:ind w:left="2160" w:hanging="144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36"/>
          <w:szCs w:val="36"/>
          <w:highlight w:val="none"/>
          <w:lang w:val="en-US" w:eastAsia="zh-CN"/>
        </w:rPr>
        <w:t>第一章   招标公告</w:t>
      </w:r>
    </w:p>
    <w:p w14:paraId="5DF763FC">
      <w:pPr>
        <w:pStyle w:val="36"/>
        <w:tabs>
          <w:tab w:val="left" w:pos="1441"/>
        </w:tabs>
        <w:spacing w:beforeAutospacing="0" w:afterAutospacing="0" w:line="480" w:lineRule="auto"/>
        <w:ind w:left="2160" w:hanging="144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36"/>
          <w:szCs w:val="36"/>
          <w:highlight w:val="none"/>
          <w:lang w:val="en-US" w:eastAsia="zh-CN"/>
        </w:rPr>
        <w:t xml:space="preserve">第二章   </w:t>
      </w:r>
      <w:r>
        <w:rPr>
          <w:rFonts w:hint="eastAsia" w:asciiTheme="majorEastAsia" w:hAnsiTheme="majorEastAsia" w:eastAsiaTheme="majorEastAsia" w:cstheme="majorEastAsia"/>
          <w:color w:val="auto"/>
          <w:sz w:val="36"/>
          <w:szCs w:val="36"/>
          <w:highlight w:val="none"/>
        </w:rPr>
        <w:t xml:space="preserve">投标人须知  </w:t>
      </w:r>
    </w:p>
    <w:p w14:paraId="29B24F63">
      <w:pPr>
        <w:pStyle w:val="36"/>
        <w:tabs>
          <w:tab w:val="left" w:pos="1441"/>
        </w:tabs>
        <w:spacing w:beforeAutospacing="0" w:afterAutospacing="0" w:line="480" w:lineRule="auto"/>
        <w:ind w:left="2160" w:hanging="144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36"/>
          <w:szCs w:val="36"/>
          <w:highlight w:val="none"/>
          <w:lang w:val="en-US" w:eastAsia="zh-CN"/>
        </w:rPr>
        <w:t xml:space="preserve">第三章   </w:t>
      </w:r>
      <w:r>
        <w:rPr>
          <w:rFonts w:hint="eastAsia" w:asciiTheme="majorEastAsia" w:hAnsiTheme="majorEastAsia" w:eastAsiaTheme="majorEastAsia" w:cstheme="majorEastAsia"/>
          <w:color w:val="auto"/>
          <w:sz w:val="36"/>
          <w:szCs w:val="36"/>
          <w:highlight w:val="none"/>
        </w:rPr>
        <w:t>合同文本</w:t>
      </w:r>
    </w:p>
    <w:p w14:paraId="48100F4E">
      <w:pPr>
        <w:pStyle w:val="36"/>
        <w:tabs>
          <w:tab w:val="left" w:pos="1441"/>
        </w:tabs>
        <w:spacing w:beforeAutospacing="0" w:afterAutospacing="0" w:line="480" w:lineRule="auto"/>
        <w:ind w:left="2160" w:hanging="144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36"/>
          <w:szCs w:val="36"/>
          <w:highlight w:val="none"/>
          <w:lang w:val="en-US" w:eastAsia="zh-CN"/>
        </w:rPr>
        <w:t xml:space="preserve">第四章   </w:t>
      </w:r>
      <w:r>
        <w:rPr>
          <w:rFonts w:hint="eastAsia" w:asciiTheme="majorEastAsia" w:hAnsiTheme="majorEastAsia" w:eastAsiaTheme="majorEastAsia" w:cstheme="majorEastAsia"/>
          <w:color w:val="auto"/>
          <w:sz w:val="36"/>
          <w:szCs w:val="36"/>
          <w:highlight w:val="none"/>
        </w:rPr>
        <w:t>采购需求</w:t>
      </w:r>
    </w:p>
    <w:p w14:paraId="07A6748C">
      <w:pPr>
        <w:pStyle w:val="36"/>
        <w:tabs>
          <w:tab w:val="left" w:pos="1441"/>
        </w:tabs>
        <w:spacing w:beforeAutospacing="0" w:afterAutospacing="0" w:line="480" w:lineRule="auto"/>
        <w:ind w:left="2160" w:hanging="144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36"/>
          <w:szCs w:val="36"/>
          <w:highlight w:val="none"/>
          <w:lang w:val="en-US" w:eastAsia="zh-CN"/>
        </w:rPr>
        <w:t xml:space="preserve">第五章   </w:t>
      </w:r>
      <w:r>
        <w:rPr>
          <w:rFonts w:hint="eastAsia" w:asciiTheme="majorEastAsia" w:hAnsiTheme="majorEastAsia" w:eastAsiaTheme="majorEastAsia" w:cstheme="majorEastAsia"/>
          <w:color w:val="auto"/>
          <w:sz w:val="36"/>
          <w:szCs w:val="36"/>
          <w:highlight w:val="none"/>
        </w:rPr>
        <w:t>评标方法与评标标准</w:t>
      </w:r>
    </w:p>
    <w:p w14:paraId="413F0A79">
      <w:pPr>
        <w:pStyle w:val="36"/>
        <w:tabs>
          <w:tab w:val="left" w:pos="1441"/>
        </w:tabs>
        <w:spacing w:beforeAutospacing="0" w:afterAutospacing="0" w:line="480" w:lineRule="auto"/>
        <w:ind w:left="2160" w:hanging="144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36"/>
          <w:szCs w:val="36"/>
          <w:highlight w:val="none"/>
          <w:lang w:val="en-US" w:eastAsia="zh-CN"/>
        </w:rPr>
        <w:t xml:space="preserve">第六章   </w:t>
      </w:r>
      <w:r>
        <w:rPr>
          <w:rFonts w:hint="eastAsia" w:asciiTheme="majorEastAsia" w:hAnsiTheme="majorEastAsia" w:eastAsiaTheme="majorEastAsia" w:cstheme="majorEastAsia"/>
          <w:color w:val="auto"/>
          <w:sz w:val="36"/>
          <w:szCs w:val="36"/>
          <w:highlight w:val="none"/>
        </w:rPr>
        <w:t>投标文件格式</w:t>
      </w:r>
    </w:p>
    <w:p w14:paraId="45E1BF76">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51C501FE">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2943FCF5">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118244A">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3B9CA07">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620872A">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F3763E3">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EE91EC7">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79FAA64">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4DD3A09C">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05A03E8E">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3E84CE85">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0AC59DC8">
      <w:pPr>
        <w:pStyle w:val="36"/>
        <w:spacing w:beforeAutospacing="0" w:afterAutospacing="0"/>
        <w:jc w:val="both"/>
        <w:rPr>
          <w:rFonts w:hint="eastAsia" w:asciiTheme="majorEastAsia" w:hAnsiTheme="majorEastAsia" w:eastAsiaTheme="majorEastAsia" w:cstheme="majorEastAsia"/>
          <w:color w:val="auto"/>
          <w:highlight w:val="none"/>
        </w:rPr>
      </w:pPr>
    </w:p>
    <w:p w14:paraId="7E26A96D">
      <w:pPr>
        <w:pStyle w:val="36"/>
        <w:spacing w:beforeAutospacing="0" w:afterAutospacing="0"/>
        <w:jc w:val="both"/>
        <w:rPr>
          <w:rFonts w:hint="eastAsia" w:asciiTheme="majorEastAsia" w:hAnsiTheme="majorEastAsia" w:eastAsiaTheme="majorEastAsia" w:cstheme="majorEastAsia"/>
          <w:color w:val="auto"/>
          <w:highlight w:val="none"/>
        </w:rPr>
      </w:pPr>
    </w:p>
    <w:p w14:paraId="0386575A">
      <w:pPr>
        <w:pStyle w:val="36"/>
        <w:spacing w:beforeAutospacing="0" w:afterAutospacing="0"/>
        <w:jc w:val="both"/>
        <w:rPr>
          <w:rFonts w:hint="eastAsia" w:asciiTheme="majorEastAsia" w:hAnsiTheme="majorEastAsia" w:eastAsiaTheme="majorEastAsia" w:cstheme="majorEastAsia"/>
          <w:color w:val="auto"/>
          <w:highlight w:val="none"/>
        </w:rPr>
      </w:pPr>
    </w:p>
    <w:p w14:paraId="3CA0AA93">
      <w:pPr>
        <w:pStyle w:val="36"/>
        <w:spacing w:beforeAutospacing="0" w:afterAutospacing="0"/>
        <w:jc w:val="both"/>
        <w:rPr>
          <w:rFonts w:hint="eastAsia" w:asciiTheme="majorEastAsia" w:hAnsiTheme="majorEastAsia" w:eastAsiaTheme="majorEastAsia" w:cstheme="majorEastAsia"/>
          <w:color w:val="auto"/>
          <w:highlight w:val="none"/>
        </w:rPr>
      </w:pPr>
    </w:p>
    <w:p w14:paraId="0F766B72">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3C9D308E">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2F011BB9">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33FCDC41">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0207A8C3">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3FDF4273">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659B242">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1CDC465">
      <w:pPr>
        <w:pStyle w:val="36"/>
        <w:keepNext/>
        <w:spacing w:beforeAutospacing="0" w:afterAutospacing="0"/>
        <w:jc w:val="center"/>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sz w:val="44"/>
          <w:szCs w:val="44"/>
          <w:highlight w:val="none"/>
        </w:rPr>
        <w:t>第一章 </w:t>
      </w:r>
      <w:r>
        <w:rPr>
          <w:rFonts w:hint="eastAsia" w:asciiTheme="majorEastAsia" w:hAnsiTheme="majorEastAsia" w:eastAsiaTheme="majorEastAsia" w:cstheme="majorEastAsia"/>
          <w:b/>
          <w:bCs/>
          <w:color w:val="auto"/>
          <w:sz w:val="44"/>
          <w:szCs w:val="44"/>
          <w:highlight w:val="none"/>
          <w:lang w:val="en-US" w:eastAsia="zh-CN"/>
        </w:rPr>
        <w:t>招标公告</w:t>
      </w:r>
    </w:p>
    <w:p w14:paraId="1E85F0CC">
      <w:pPr>
        <w:pStyle w:val="36"/>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项目概况</w:t>
      </w:r>
    </w:p>
    <w:p w14:paraId="5A8DA0AF">
      <w:pPr>
        <w:pStyle w:val="36"/>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u w:val="single"/>
          <w:lang w:val="en-US" w:eastAsia="zh-CN"/>
        </w:rPr>
        <w:t>2025年11月-2027年11月大洋街道辖区公厕管护服务采购项目</w:t>
      </w:r>
      <w:r>
        <w:rPr>
          <w:rFonts w:hint="eastAsia" w:asciiTheme="majorEastAsia" w:hAnsiTheme="majorEastAsia" w:eastAsiaTheme="majorEastAsia" w:cstheme="majorEastAsia"/>
          <w:color w:val="auto"/>
          <w:sz w:val="24"/>
          <w:szCs w:val="24"/>
          <w:highlight w:val="none"/>
        </w:rPr>
        <w:t>招标项目的潜在</w:t>
      </w:r>
      <w:r>
        <w:rPr>
          <w:rFonts w:hint="eastAsia" w:ascii="Times New Roman" w:hAnsi="Times New Roman"/>
          <w:color w:val="auto"/>
          <w:szCs w:val="21"/>
          <w:highlight w:val="none"/>
        </w:rPr>
        <w:t>供应商</w:t>
      </w:r>
      <w:r>
        <w:rPr>
          <w:rFonts w:hint="eastAsia" w:asciiTheme="majorEastAsia" w:hAnsiTheme="majorEastAsia" w:eastAsiaTheme="majorEastAsia" w:cstheme="majorEastAsia"/>
          <w:color w:val="auto"/>
          <w:sz w:val="24"/>
          <w:szCs w:val="24"/>
          <w:highlight w:val="none"/>
        </w:rPr>
        <w:t>可在“苏采云”系统内免费下载</w:t>
      </w:r>
      <w:r>
        <w:rPr>
          <w:rFonts w:hint="eastAsia" w:eastAsia="宋体" w:asciiTheme="majorEastAsia" w:hAnsiTheme="majorEastAsia" w:cstheme="majorEastAsia"/>
          <w:color w:val="auto"/>
          <w:sz w:val="24"/>
          <w:szCs w:val="24"/>
          <w:highlight w:val="none"/>
          <w:lang w:val="en-US" w:eastAsia="zh-CN"/>
        </w:rPr>
        <w:t>招标文件</w:t>
      </w:r>
      <w:r>
        <w:rPr>
          <w:rFonts w:hint="eastAsia" w:asciiTheme="majorEastAsia" w:hAnsiTheme="majorEastAsia" w:eastAsiaTheme="majorEastAsia" w:cstheme="majorEastAsia"/>
          <w:color w:val="auto"/>
          <w:sz w:val="24"/>
          <w:szCs w:val="24"/>
          <w:highlight w:val="none"/>
        </w:rPr>
        <w:t>（</w:t>
      </w:r>
      <w:r>
        <w:rPr>
          <w:rFonts w:hint="eastAsia" w:ascii="Times New Roman" w:hAnsi="Times New Roman"/>
          <w:color w:val="auto"/>
          <w:szCs w:val="21"/>
          <w:highlight w:val="none"/>
        </w:rPr>
        <w:t>供应商</w:t>
      </w:r>
      <w:r>
        <w:rPr>
          <w:rFonts w:hint="eastAsia" w:asciiTheme="majorEastAsia" w:hAnsiTheme="majorEastAsia" w:eastAsiaTheme="majorEastAsia" w:cstheme="majorEastAsia"/>
          <w:color w:val="auto"/>
          <w:sz w:val="24"/>
          <w:szCs w:val="24"/>
          <w:highlight w:val="none"/>
        </w:rPr>
        <w:t>必须在苏采云系统中获取采购文件，方能参与政府采购项目），并于</w:t>
      </w:r>
      <w:r>
        <w:rPr>
          <w:rFonts w:hint="eastAsia" w:asciiTheme="majorEastAsia" w:hAnsiTheme="majorEastAsia" w:eastAsiaTheme="majorEastAsia" w:cstheme="majorEastAsia"/>
          <w:color w:val="auto"/>
          <w:sz w:val="24"/>
          <w:szCs w:val="24"/>
          <w:highlight w:val="none"/>
          <w:u w:val="single"/>
          <w:lang w:val="en-US" w:eastAsia="zh-CN"/>
        </w:rPr>
        <w:t>2025</w:t>
      </w:r>
      <w:r>
        <w:rPr>
          <w:rFonts w:hint="eastAsia" w:asciiTheme="majorEastAsia" w:hAnsiTheme="majorEastAsia" w:eastAsiaTheme="majorEastAsia" w:cstheme="majorEastAsia"/>
          <w:color w:val="auto"/>
          <w:sz w:val="24"/>
          <w:szCs w:val="24"/>
          <w:highlight w:val="none"/>
          <w:u w:val="single"/>
        </w:rPr>
        <w:t>年</w:t>
      </w:r>
      <w:r>
        <w:rPr>
          <w:rFonts w:hint="eastAsia" w:eastAsia="宋体" w:asciiTheme="majorEastAsia" w:hAnsiTheme="majorEastAsia" w:cstheme="majorEastAsia"/>
          <w:color w:val="auto"/>
          <w:sz w:val="24"/>
          <w:szCs w:val="24"/>
          <w:highlight w:val="none"/>
          <w:u w:val="single"/>
          <w:lang w:val="en-US" w:eastAsia="zh-CN"/>
        </w:rPr>
        <w:t>12</w:t>
      </w:r>
      <w:r>
        <w:rPr>
          <w:rFonts w:hint="eastAsia" w:asciiTheme="majorEastAsia" w:hAnsiTheme="majorEastAsia" w:eastAsiaTheme="majorEastAsia" w:cstheme="majorEastAsia"/>
          <w:color w:val="auto"/>
          <w:sz w:val="24"/>
          <w:szCs w:val="24"/>
          <w:highlight w:val="none"/>
          <w:u w:val="single"/>
        </w:rPr>
        <w:t>月</w:t>
      </w:r>
      <w:r>
        <w:rPr>
          <w:rFonts w:hint="eastAsia" w:eastAsia="宋体" w:asciiTheme="majorEastAsia" w:hAnsiTheme="majorEastAsia" w:cstheme="majorEastAsia"/>
          <w:color w:val="auto"/>
          <w:sz w:val="24"/>
          <w:szCs w:val="24"/>
          <w:highlight w:val="none"/>
          <w:u w:val="single"/>
          <w:lang w:val="en-US" w:eastAsia="zh-CN"/>
        </w:rPr>
        <w:t>08</w:t>
      </w:r>
      <w:r>
        <w:rPr>
          <w:rFonts w:hint="eastAsia" w:asciiTheme="majorEastAsia" w:hAnsiTheme="majorEastAsia" w:eastAsiaTheme="majorEastAsia" w:cstheme="majorEastAsia"/>
          <w:color w:val="auto"/>
          <w:sz w:val="24"/>
          <w:szCs w:val="24"/>
          <w:highlight w:val="none"/>
          <w:u w:val="single"/>
        </w:rPr>
        <w:t>日</w:t>
      </w:r>
      <w:r>
        <w:rPr>
          <w:rFonts w:hint="eastAsia" w:asciiTheme="majorEastAsia" w:hAnsiTheme="majorEastAsia" w:eastAsiaTheme="majorEastAsia" w:cstheme="majorEastAsia"/>
          <w:color w:val="auto"/>
          <w:sz w:val="24"/>
          <w:szCs w:val="24"/>
          <w:highlight w:val="none"/>
          <w:u w:val="single"/>
          <w:lang w:val="en-US" w:eastAsia="zh-CN"/>
        </w:rPr>
        <w:t>09</w:t>
      </w:r>
      <w:r>
        <w:rPr>
          <w:rFonts w:hint="eastAsia" w:asciiTheme="majorEastAsia" w:hAnsiTheme="majorEastAsia" w:eastAsiaTheme="majorEastAsia" w:cstheme="majorEastAsia"/>
          <w:color w:val="auto"/>
          <w:sz w:val="24"/>
          <w:szCs w:val="24"/>
          <w:highlight w:val="none"/>
          <w:u w:val="single"/>
        </w:rPr>
        <w:t>点</w:t>
      </w:r>
      <w:r>
        <w:rPr>
          <w:rFonts w:hint="eastAsia" w:asciiTheme="majorEastAsia" w:hAnsiTheme="majorEastAsia" w:eastAsiaTheme="majorEastAsia" w:cstheme="majorEastAsia"/>
          <w:color w:val="auto"/>
          <w:sz w:val="24"/>
          <w:szCs w:val="24"/>
          <w:highlight w:val="none"/>
          <w:u w:val="single"/>
          <w:lang w:val="en-US" w:eastAsia="zh-CN"/>
        </w:rPr>
        <w:t>00</w:t>
      </w:r>
      <w:r>
        <w:rPr>
          <w:rFonts w:hint="eastAsia" w:asciiTheme="majorEastAsia" w:hAnsiTheme="majorEastAsia" w:eastAsiaTheme="majorEastAsia" w:cstheme="majorEastAsia"/>
          <w:color w:val="auto"/>
          <w:sz w:val="24"/>
          <w:szCs w:val="24"/>
          <w:highlight w:val="none"/>
          <w:u w:val="single"/>
        </w:rPr>
        <w:t>分（</w:t>
      </w:r>
      <w:r>
        <w:rPr>
          <w:rFonts w:hint="eastAsia" w:asciiTheme="majorEastAsia" w:hAnsiTheme="majorEastAsia" w:eastAsiaTheme="majorEastAsia" w:cstheme="majorEastAsia"/>
          <w:color w:val="auto"/>
          <w:sz w:val="24"/>
          <w:szCs w:val="24"/>
          <w:highlight w:val="none"/>
        </w:rPr>
        <w:t>北京时间）前递交投标文件。</w:t>
      </w:r>
    </w:p>
    <w:p w14:paraId="7B2AD7E6">
      <w:pPr>
        <w:pStyle w:val="36"/>
        <w:keepNext/>
        <w:keepLines/>
        <w:spacing w:before="145" w:beforeAutospacing="0" w:after="145" w:afterAutospacing="0" w:line="360" w:lineRule="auto"/>
        <w:ind w:firstLine="498"/>
        <w:jc w:val="both"/>
        <w:rPr>
          <w:rFonts w:hint="eastAsia" w:asciiTheme="majorEastAsia" w:hAnsiTheme="majorEastAsia" w:eastAsiaTheme="majorEastAsia" w:cstheme="majorEastAsia"/>
          <w:color w:val="auto"/>
          <w:sz w:val="24"/>
          <w:szCs w:val="24"/>
          <w:highlight w:val="none"/>
        </w:rPr>
      </w:pPr>
      <w:bookmarkStart w:id="6" w:name="_Toc35393621"/>
      <w:bookmarkStart w:id="7" w:name="_Toc35393790"/>
      <w:bookmarkStart w:id="8" w:name="_Toc28359002"/>
      <w:bookmarkStart w:id="9" w:name="_Hlk24379207"/>
      <w:bookmarkStart w:id="10" w:name="_Toc38985263"/>
      <w:bookmarkStart w:id="11" w:name="_Toc28359079"/>
      <w:r>
        <w:rPr>
          <w:rFonts w:hint="eastAsia" w:asciiTheme="majorEastAsia" w:hAnsiTheme="majorEastAsia" w:eastAsiaTheme="majorEastAsia" w:cstheme="majorEastAsia"/>
          <w:b/>
          <w:color w:val="auto"/>
          <w:sz w:val="24"/>
          <w:szCs w:val="24"/>
          <w:highlight w:val="none"/>
        </w:rPr>
        <w:t>一、项目基本情况</w:t>
      </w:r>
      <w:bookmarkEnd w:id="6"/>
      <w:bookmarkEnd w:id="7"/>
      <w:bookmarkEnd w:id="8"/>
      <w:bookmarkEnd w:id="9"/>
      <w:bookmarkEnd w:id="10"/>
      <w:bookmarkEnd w:id="11"/>
    </w:p>
    <w:p w14:paraId="1FD9DBF2">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1.项目编号：JSZC-320902-CJZJ-G2025-0003</w:t>
      </w:r>
    </w:p>
    <w:p w14:paraId="7D236B80">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2.项目名称：</w:t>
      </w:r>
      <w:r>
        <w:rPr>
          <w:rFonts w:hint="eastAsia" w:asciiTheme="majorEastAsia" w:hAnsiTheme="majorEastAsia" w:eastAsiaTheme="majorEastAsia" w:cstheme="majorEastAsia"/>
          <w:color w:val="auto"/>
          <w:sz w:val="24"/>
          <w:szCs w:val="24"/>
          <w:highlight w:val="none"/>
          <w:lang w:val="en-US" w:eastAsia="zh-CN"/>
        </w:rPr>
        <w:t xml:space="preserve">2025年11月-2027年11月大洋街道辖区公厕管护服务采购项目      </w:t>
      </w:r>
    </w:p>
    <w:p w14:paraId="4A307219">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rPr>
        <w:t>采购方式：</w:t>
      </w:r>
      <w:r>
        <w:rPr>
          <w:rFonts w:hint="eastAsia" w:asciiTheme="majorEastAsia" w:hAnsiTheme="majorEastAsia" w:eastAsiaTheme="majorEastAsia" w:cstheme="majorEastAsia"/>
          <w:color w:val="auto"/>
          <w:sz w:val="24"/>
          <w:szCs w:val="24"/>
          <w:highlight w:val="none"/>
          <w:lang w:val="en-US" w:eastAsia="zh-CN"/>
        </w:rPr>
        <w:t>公开招标</w:t>
      </w:r>
    </w:p>
    <w:p w14:paraId="4483480F">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4</w:t>
      </w:r>
      <w:r>
        <w:rPr>
          <w:rFonts w:hint="eastAsia" w:asciiTheme="majorEastAsia" w:hAnsiTheme="majorEastAsia" w:eastAsiaTheme="majorEastAsia" w:cstheme="majorEastAsia"/>
          <w:color w:val="auto"/>
          <w:sz w:val="24"/>
          <w:szCs w:val="24"/>
          <w:highlight w:val="none"/>
        </w:rPr>
        <w:t>.预算金额</w:t>
      </w:r>
      <w:r>
        <w:rPr>
          <w:rFonts w:hint="eastAsia" w:asciiTheme="majorEastAsia" w:hAnsiTheme="majorEastAsia" w:eastAsiaTheme="majorEastAsia" w:cstheme="majorEastAsia"/>
          <w:color w:val="auto"/>
          <w:sz w:val="24"/>
          <w:szCs w:val="24"/>
          <w:highlight w:val="none"/>
          <w:lang w:val="en-US" w:eastAsia="zh-CN"/>
        </w:rPr>
        <w:t>：92.8万元。</w:t>
      </w:r>
    </w:p>
    <w:p w14:paraId="6E016F33">
      <w:pPr>
        <w:pStyle w:val="36"/>
        <w:spacing w:beforeAutospacing="0" w:afterAutospacing="0" w:line="360" w:lineRule="auto"/>
        <w:ind w:firstLine="480"/>
        <w:jc w:val="both"/>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5.最高限价：92.8万元，投标报价不得超出最高限价，否则作无效标书处理。</w:t>
      </w:r>
    </w:p>
    <w:p w14:paraId="4CB4C08D">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6</w:t>
      </w:r>
      <w:r>
        <w:rPr>
          <w:rFonts w:hint="eastAsia" w:asciiTheme="majorEastAsia" w:hAnsiTheme="majorEastAsia" w:eastAsiaTheme="majorEastAsia" w:cstheme="majorEastAsia"/>
          <w:color w:val="auto"/>
          <w:sz w:val="24"/>
          <w:szCs w:val="24"/>
          <w:highlight w:val="none"/>
        </w:rPr>
        <w:t>.采购需求：</w:t>
      </w:r>
      <w:r>
        <w:rPr>
          <w:rFonts w:hint="eastAsia" w:asciiTheme="majorEastAsia" w:hAnsiTheme="majorEastAsia" w:eastAsiaTheme="majorEastAsia" w:cstheme="majorEastAsia"/>
          <w:color w:val="auto"/>
          <w:sz w:val="24"/>
          <w:szCs w:val="24"/>
          <w:highlight w:val="none"/>
          <w:lang w:val="en-US" w:eastAsia="zh-CN"/>
        </w:rPr>
        <w:t>2025年11月-2027年11月大洋街道辖区公厕管护服务采购项目。</w:t>
      </w:r>
      <w:r>
        <w:rPr>
          <w:rFonts w:hint="eastAsia" w:asciiTheme="majorEastAsia" w:hAnsiTheme="majorEastAsia" w:eastAsiaTheme="majorEastAsia" w:cstheme="majorEastAsia"/>
          <w:color w:val="auto"/>
          <w:sz w:val="24"/>
          <w:szCs w:val="24"/>
          <w:highlight w:val="none"/>
        </w:rPr>
        <w:t>详细内容见本</w:t>
      </w:r>
      <w:r>
        <w:rPr>
          <w:rFonts w:hint="eastAsia" w:asciiTheme="majorEastAsia" w:hAnsiTheme="majorEastAsia" w:eastAsiaTheme="majorEastAsia" w:cstheme="majorEastAsia"/>
          <w:color w:val="auto"/>
          <w:sz w:val="24"/>
          <w:szCs w:val="24"/>
          <w:highlight w:val="none"/>
          <w:lang w:val="en-US" w:eastAsia="zh-CN"/>
        </w:rPr>
        <w:t>招标</w:t>
      </w:r>
      <w:r>
        <w:rPr>
          <w:rFonts w:hint="eastAsia" w:asciiTheme="majorEastAsia" w:hAnsiTheme="majorEastAsia" w:eastAsiaTheme="majorEastAsia" w:cstheme="majorEastAsia"/>
          <w:color w:val="auto"/>
          <w:sz w:val="24"/>
          <w:szCs w:val="24"/>
          <w:highlight w:val="none"/>
        </w:rPr>
        <w:t>文件第四章</w:t>
      </w:r>
      <w:r>
        <w:rPr>
          <w:rFonts w:hint="eastAsia" w:asciiTheme="majorEastAsia" w:hAnsiTheme="majorEastAsia" w:eastAsiaTheme="majorEastAsia" w:cstheme="majorEastAsia"/>
          <w:color w:val="auto"/>
          <w:sz w:val="24"/>
          <w:szCs w:val="24"/>
          <w:highlight w:val="none"/>
          <w:lang w:val="en-US" w:eastAsia="zh-CN"/>
        </w:rPr>
        <w:t>，</w:t>
      </w:r>
      <w:r>
        <w:rPr>
          <w:rFonts w:hint="eastAsia" w:asciiTheme="majorEastAsia" w:hAnsiTheme="majorEastAsia" w:eastAsiaTheme="majorEastAsia" w:cstheme="majorEastAsia"/>
          <w:color w:val="auto"/>
          <w:sz w:val="24"/>
          <w:szCs w:val="24"/>
          <w:highlight w:val="none"/>
        </w:rPr>
        <w:t>采购人保留对采购需求进行适当调整的权利。</w:t>
      </w:r>
    </w:p>
    <w:p w14:paraId="1F62309C">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7</w:t>
      </w:r>
      <w:r>
        <w:rPr>
          <w:rFonts w:hint="eastAsia" w:asciiTheme="majorEastAsia" w:hAnsiTheme="majorEastAsia" w:eastAsiaTheme="majorEastAsia" w:cstheme="majorEastAsia"/>
          <w:color w:val="auto"/>
          <w:sz w:val="24"/>
          <w:szCs w:val="24"/>
          <w:highlight w:val="none"/>
        </w:rPr>
        <w:t>.合同履行期限：</w:t>
      </w:r>
      <w:r>
        <w:rPr>
          <w:rFonts w:hint="eastAsia" w:asciiTheme="majorEastAsia" w:hAnsiTheme="majorEastAsia" w:eastAsiaTheme="majorEastAsia" w:cstheme="majorEastAsia"/>
          <w:color w:val="auto"/>
          <w:sz w:val="24"/>
          <w:szCs w:val="24"/>
          <w:highlight w:val="none"/>
          <w:lang w:val="en-US" w:eastAsia="zh-CN"/>
        </w:rPr>
        <w:t>贰年（开始时间以签定合同日期为准）。</w:t>
      </w:r>
    </w:p>
    <w:p w14:paraId="612AACF6">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8.服务</w:t>
      </w:r>
      <w:r>
        <w:rPr>
          <w:rFonts w:hint="eastAsia" w:asciiTheme="majorEastAsia" w:hAnsiTheme="majorEastAsia" w:eastAsiaTheme="majorEastAsia" w:cstheme="majorEastAsia"/>
          <w:color w:val="auto"/>
          <w:sz w:val="24"/>
          <w:szCs w:val="24"/>
          <w:highlight w:val="none"/>
        </w:rPr>
        <w:t>要求：</w:t>
      </w:r>
      <w:r>
        <w:rPr>
          <w:rFonts w:hint="eastAsia" w:asciiTheme="majorEastAsia" w:hAnsiTheme="majorEastAsia" w:eastAsiaTheme="majorEastAsia" w:cstheme="majorEastAsia"/>
          <w:color w:val="auto"/>
          <w:sz w:val="24"/>
          <w:szCs w:val="24"/>
          <w:highlight w:val="none"/>
          <w:lang w:val="en-US" w:eastAsia="zh-CN"/>
        </w:rPr>
        <w:t>满足考核要求。</w:t>
      </w:r>
    </w:p>
    <w:p w14:paraId="2B77F2A5">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9.</w:t>
      </w:r>
      <w:bookmarkStart w:id="12" w:name="_Toc28359003"/>
      <w:bookmarkStart w:id="13" w:name="_Toc38985264"/>
      <w:bookmarkStart w:id="14" w:name="_Toc28359080"/>
      <w:bookmarkStart w:id="15" w:name="_Toc35393622"/>
      <w:bookmarkStart w:id="16" w:name="_Toc35393791"/>
      <w:r>
        <w:rPr>
          <w:rFonts w:hint="eastAsia" w:asciiTheme="majorEastAsia" w:hAnsiTheme="majorEastAsia" w:eastAsiaTheme="majorEastAsia" w:cstheme="majorEastAsia"/>
          <w:color w:val="auto"/>
          <w:sz w:val="24"/>
          <w:szCs w:val="24"/>
          <w:highlight w:val="none"/>
          <w:lang w:val="en-US" w:eastAsia="zh-CN"/>
        </w:rPr>
        <w:t>本项目（是/否）接受联合体投标：不接受联合体。</w:t>
      </w:r>
    </w:p>
    <w:p w14:paraId="530EAC0B">
      <w:pPr>
        <w:pStyle w:val="36"/>
        <w:keepNext/>
        <w:keepLines/>
        <w:spacing w:before="145" w:beforeAutospacing="0" w:after="145" w:afterAutospacing="0" w:line="360" w:lineRule="auto"/>
        <w:ind w:firstLine="498"/>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二、申请人的资格要求：</w:t>
      </w:r>
      <w:bookmarkEnd w:id="12"/>
      <w:bookmarkEnd w:id="13"/>
      <w:bookmarkEnd w:id="14"/>
      <w:bookmarkEnd w:id="15"/>
      <w:bookmarkEnd w:id="16"/>
    </w:p>
    <w:p w14:paraId="315CD76F">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1.满足《中华人民共和国政府采购法》第二十二条规定，并提供下列材料：</w:t>
      </w:r>
    </w:p>
    <w:p w14:paraId="284745AD">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1.1 法人或者其他组织的营业执照等证明文件，自然人的身份证明；</w:t>
      </w:r>
    </w:p>
    <w:p w14:paraId="147011B9">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1.2上</w:t>
      </w:r>
      <w:r>
        <w:rPr>
          <w:rFonts w:hint="eastAsia" w:eastAsia="宋体" w:asciiTheme="majorEastAsia" w:hAnsiTheme="majorEastAsia" w:cstheme="majorEastAsia"/>
          <w:color w:val="auto"/>
          <w:sz w:val="24"/>
          <w:szCs w:val="24"/>
          <w:highlight w:val="none"/>
          <w:lang w:val="en-US" w:eastAsia="zh-CN"/>
        </w:rPr>
        <w:t>一</w:t>
      </w:r>
      <w:r>
        <w:rPr>
          <w:rFonts w:hint="eastAsia" w:eastAsia="宋体" w:asciiTheme="majorEastAsia" w:hAnsiTheme="majorEastAsia" w:cstheme="majorEastAsia"/>
          <w:color w:val="auto"/>
          <w:sz w:val="24"/>
          <w:szCs w:val="24"/>
          <w:highlight w:val="none"/>
          <w:lang w:eastAsia="zh-CN"/>
        </w:rPr>
        <w:t>年</w:t>
      </w:r>
      <w:r>
        <w:rPr>
          <w:rFonts w:hint="eastAsia" w:asciiTheme="majorEastAsia" w:hAnsiTheme="majorEastAsia" w:eastAsiaTheme="majorEastAsia" w:cstheme="majorEastAsia"/>
          <w:color w:val="auto"/>
          <w:sz w:val="24"/>
          <w:szCs w:val="24"/>
          <w:highlight w:val="none"/>
        </w:rPr>
        <w:t>度的财务状况报表（成立不满</w:t>
      </w:r>
      <w:r>
        <w:rPr>
          <w:rFonts w:hint="eastAsia" w:eastAsia="宋体" w:asciiTheme="majorEastAsia" w:hAnsiTheme="majorEastAsia" w:cstheme="majorEastAsia"/>
          <w:color w:val="auto"/>
          <w:sz w:val="24"/>
          <w:szCs w:val="24"/>
          <w:highlight w:val="none"/>
          <w:lang w:val="en-US" w:eastAsia="zh-CN"/>
        </w:rPr>
        <w:t>一</w:t>
      </w:r>
      <w:r>
        <w:rPr>
          <w:rFonts w:hint="eastAsia" w:eastAsia="宋体" w:asciiTheme="majorEastAsia" w:hAnsiTheme="majorEastAsia" w:cstheme="majorEastAsia"/>
          <w:color w:val="auto"/>
          <w:sz w:val="24"/>
          <w:szCs w:val="24"/>
          <w:highlight w:val="none"/>
          <w:lang w:eastAsia="zh-CN"/>
        </w:rPr>
        <w:t>年</w:t>
      </w:r>
      <w:r>
        <w:rPr>
          <w:rFonts w:hint="eastAsia" w:asciiTheme="majorEastAsia" w:hAnsiTheme="majorEastAsia" w:eastAsiaTheme="majorEastAsia" w:cstheme="majorEastAsia"/>
          <w:color w:val="auto"/>
          <w:sz w:val="24"/>
          <w:szCs w:val="24"/>
          <w:highlight w:val="none"/>
        </w:rPr>
        <w:t>无需提供）；</w:t>
      </w:r>
    </w:p>
    <w:p w14:paraId="240B577F">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1.3</w:t>
      </w:r>
      <w:r>
        <w:rPr>
          <w:rFonts w:hint="eastAsia" w:asciiTheme="majorEastAsia" w:hAnsiTheme="majorEastAsia" w:eastAsiaTheme="majorEastAsia" w:cstheme="majorEastAsia"/>
          <w:color w:val="auto"/>
          <w:sz w:val="24"/>
          <w:szCs w:val="24"/>
          <w:highlight w:val="none"/>
        </w:rPr>
        <w:t>具备履行合同所必需的设备和专业技术能力的书面声明；</w:t>
      </w:r>
    </w:p>
    <w:p w14:paraId="7F1BC1CA">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w:t>
      </w:r>
      <w:r>
        <w:rPr>
          <w:rFonts w:hint="eastAsia" w:asciiTheme="majorEastAsia" w:hAnsiTheme="majorEastAsia" w:eastAsiaTheme="majorEastAsia" w:cstheme="majorEastAsia"/>
          <w:color w:val="auto"/>
          <w:sz w:val="24"/>
          <w:szCs w:val="24"/>
          <w:highlight w:val="none"/>
          <w:lang w:val="en-US" w:eastAsia="zh-CN"/>
        </w:rPr>
        <w:t>4</w:t>
      </w:r>
      <w:r>
        <w:rPr>
          <w:rFonts w:hint="eastAsia" w:asciiTheme="majorEastAsia" w:hAnsiTheme="majorEastAsia" w:eastAsiaTheme="majorEastAsia" w:cstheme="majorEastAsia"/>
          <w:color w:val="auto"/>
          <w:sz w:val="24"/>
          <w:szCs w:val="24"/>
          <w:highlight w:val="none"/>
        </w:rPr>
        <w:t>依法缴纳税收和社会保障资金的相关材料（提供提交响应文件截止时间前</w:t>
      </w:r>
      <w:r>
        <w:rPr>
          <w:rFonts w:hint="eastAsia" w:eastAsia="宋体" w:asciiTheme="majorEastAsia" w:hAnsiTheme="majorEastAsia" w:cstheme="majorEastAsia"/>
          <w:color w:val="auto"/>
          <w:sz w:val="24"/>
          <w:szCs w:val="24"/>
          <w:highlight w:val="none"/>
          <w:lang w:val="en-US" w:eastAsia="zh-CN"/>
        </w:rPr>
        <w:t>一</w:t>
      </w:r>
      <w:r>
        <w:rPr>
          <w:rFonts w:hint="eastAsia" w:eastAsia="宋体" w:asciiTheme="majorEastAsia" w:hAnsiTheme="majorEastAsia" w:cstheme="majorEastAsia"/>
          <w:color w:val="auto"/>
          <w:sz w:val="24"/>
          <w:szCs w:val="24"/>
          <w:highlight w:val="none"/>
          <w:lang w:eastAsia="zh-CN"/>
        </w:rPr>
        <w:t>年</w:t>
      </w:r>
      <w:r>
        <w:rPr>
          <w:rFonts w:hint="eastAsia" w:asciiTheme="majorEastAsia" w:hAnsiTheme="majorEastAsia" w:eastAsiaTheme="majorEastAsia" w:cstheme="majorEastAsia"/>
          <w:color w:val="auto"/>
          <w:sz w:val="24"/>
          <w:szCs w:val="24"/>
          <w:highlight w:val="none"/>
        </w:rPr>
        <w:t>内至少一个月依法缴纳税收及缴纳社会保障资金的证明材料。供应商依法享受缓缴、免缴税收、社会保障资金的提供证明材料。）；</w:t>
      </w:r>
    </w:p>
    <w:p w14:paraId="709B9C6F">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rPr>
        <w:t>.5参加政府采购活动前3年内在经营活动中没有重大违法记录的书面声明。</w:t>
      </w:r>
    </w:p>
    <w:p w14:paraId="67C18BE3">
      <w:pPr>
        <w:pStyle w:val="36"/>
        <w:spacing w:beforeAutospacing="0" w:afterAutospacing="0" w:line="360" w:lineRule="auto"/>
        <w:ind w:firstLine="480"/>
        <w:jc w:val="both"/>
        <w:rPr>
          <w:rFonts w:hint="eastAsia" w:eastAsia="宋体" w:asciiTheme="majorEastAsia" w:hAnsiTheme="majorEastAsia" w:cstheme="majorEastAsia"/>
          <w:color w:val="auto"/>
          <w:sz w:val="24"/>
          <w:szCs w:val="24"/>
          <w:highlight w:val="none"/>
          <w:lang w:val="en-US" w:eastAsia="zh-CN"/>
        </w:rPr>
      </w:pPr>
      <w:r>
        <w:rPr>
          <w:rFonts w:hint="eastAsia" w:eastAsia="宋体" w:asciiTheme="majorEastAsia" w:hAnsiTheme="majorEastAsia" w:cstheme="majorEastAsia"/>
          <w:color w:val="auto"/>
          <w:sz w:val="24"/>
          <w:szCs w:val="24"/>
          <w:highlight w:val="none"/>
          <w:lang w:val="en-US" w:eastAsia="zh-CN"/>
        </w:rPr>
        <w:t>1.6法律、行政法规规定的其他条件。</w:t>
      </w:r>
    </w:p>
    <w:p w14:paraId="5C40C0D0">
      <w:pPr>
        <w:pStyle w:val="36"/>
        <w:spacing w:beforeAutospacing="0" w:afterAutospacing="0" w:line="360" w:lineRule="auto"/>
        <w:ind w:firstLine="480"/>
        <w:jc w:val="both"/>
        <w:rPr>
          <w:rFonts w:hint="eastAsia" w:eastAsia="宋体" w:asciiTheme="majorEastAsia" w:hAnsiTheme="majorEastAsia" w:cstheme="majorEastAsia"/>
          <w:color w:val="auto"/>
          <w:sz w:val="24"/>
          <w:szCs w:val="24"/>
          <w:highlight w:val="none"/>
          <w:lang w:val="en-US" w:eastAsia="zh-CN"/>
        </w:rPr>
      </w:pPr>
      <w:r>
        <w:rPr>
          <w:rFonts w:hint="eastAsia" w:eastAsia="宋体" w:asciiTheme="majorEastAsia" w:hAnsiTheme="majorEastAsia" w:cstheme="majorEastAsia"/>
          <w:color w:val="auto"/>
          <w:sz w:val="24"/>
          <w:szCs w:val="24"/>
          <w:highlight w:val="none"/>
          <w:lang w:val="en-US" w:eastAsia="zh-CN"/>
        </w:rPr>
        <w:t>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4362CA41">
      <w:pPr>
        <w:pStyle w:val="36"/>
        <w:spacing w:beforeAutospacing="0" w:afterAutospacing="0" w:line="360" w:lineRule="auto"/>
        <w:ind w:firstLine="480"/>
        <w:jc w:val="both"/>
        <w:rPr>
          <w:rFonts w:hint="default" w:eastAsia="宋体" w:asciiTheme="majorEastAsia" w:hAnsiTheme="majorEastAsia" w:cstheme="majorEastAsia"/>
          <w:color w:val="auto"/>
          <w:sz w:val="24"/>
          <w:szCs w:val="24"/>
          <w:highlight w:val="none"/>
          <w:lang w:val="en-US" w:eastAsia="zh-CN"/>
        </w:rPr>
      </w:pPr>
      <w:r>
        <w:rPr>
          <w:rFonts w:hint="eastAsia" w:eastAsia="宋体" w:asciiTheme="majorEastAsia" w:hAnsiTheme="majorEastAsia" w:cstheme="majorEastAsia"/>
          <w:color w:val="auto"/>
          <w:sz w:val="24"/>
          <w:szCs w:val="24"/>
          <w:highlight w:val="none"/>
          <w:lang w:val="en-US" w:eastAsia="zh-CN"/>
        </w:rPr>
        <w:t>1.8单位负责人为同一人或者存在直接控股、管理关系的不同供应商，不得参加同一合同项下的政府采购活动。</w:t>
      </w:r>
    </w:p>
    <w:p w14:paraId="127569EE">
      <w:pPr>
        <w:pStyle w:val="3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right="0" w:firstLine="482"/>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落实政府采购政策需满足的资格要求：</w:t>
      </w:r>
    </w:p>
    <w:p w14:paraId="2724853F">
      <w:pPr>
        <w:pStyle w:val="3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right="0" w:rightChars="0" w:firstLine="480" w:firstLineChars="20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sz w:val="24"/>
          <w:szCs w:val="24"/>
          <w:highlight w:val="none"/>
        </w:rPr>
        <w:t>本项目专门面向中小企业采购，投标人须为符合《关于印发中小企业划型标准规定的通知》（工信部联企业[2011]300号）文件的中小微企业，不接受大型企业参与本项目投标（投标时须提供中小企业声明函）。</w:t>
      </w:r>
    </w:p>
    <w:p w14:paraId="0B1CE2AD">
      <w:pPr>
        <w:pStyle w:val="3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leftChars="0" w:right="0" w:rightChars="0" w:firstLine="482" w:firstLineChars="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本项目的特定资格要求：无</w:t>
      </w:r>
    </w:p>
    <w:p w14:paraId="4E18FBDC">
      <w:pPr>
        <w:pStyle w:val="36"/>
        <w:spacing w:beforeAutospacing="0" w:afterAutospacing="0" w:line="360" w:lineRule="auto"/>
        <w:ind w:firstLine="480"/>
        <w:jc w:val="both"/>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三、获取招标文件</w:t>
      </w:r>
    </w:p>
    <w:p w14:paraId="3FFBE16F">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bookmarkStart w:id="17" w:name="_Toc28359082"/>
      <w:bookmarkStart w:id="18" w:name="_Toc28359005"/>
      <w:bookmarkStart w:id="19" w:name="_Toc35393793"/>
      <w:bookmarkStart w:id="20" w:name="_Toc35393624"/>
      <w:bookmarkStart w:id="21" w:name="_Toc38985266"/>
      <w:r>
        <w:rPr>
          <w:rFonts w:hint="eastAsia" w:asciiTheme="majorEastAsia" w:hAnsiTheme="majorEastAsia" w:eastAsiaTheme="majorEastAsia" w:cstheme="majorEastAsia"/>
          <w:color w:val="auto"/>
          <w:sz w:val="24"/>
          <w:szCs w:val="24"/>
          <w:highlight w:val="none"/>
        </w:rPr>
        <w:t>1.时间：</w:t>
      </w:r>
      <w:bookmarkEnd w:id="17"/>
      <w:bookmarkEnd w:id="18"/>
      <w:bookmarkEnd w:id="19"/>
      <w:bookmarkEnd w:id="20"/>
      <w:bookmarkEnd w:id="21"/>
      <w:r>
        <w:rPr>
          <w:rFonts w:hint="eastAsia" w:asciiTheme="majorEastAsia" w:hAnsiTheme="majorEastAsia" w:eastAsiaTheme="majorEastAsia" w:cstheme="majorEastAsia"/>
          <w:color w:val="auto"/>
          <w:sz w:val="24"/>
          <w:szCs w:val="24"/>
          <w:highlight w:val="none"/>
          <w:lang w:val="en-US" w:eastAsia="zh-CN"/>
        </w:rPr>
        <w:t>自招标文件公告发布之日起5个工作日。</w:t>
      </w:r>
    </w:p>
    <w:p w14:paraId="2FEDD3B0">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2.地点：“苏采云”系统内免费下载（供应商必须在苏采云系统中获取招标文件，方能参与政府采购项目） </w:t>
      </w:r>
    </w:p>
    <w:p w14:paraId="190316FF">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rPr>
        <w:t>.方式：</w:t>
      </w:r>
      <w:r>
        <w:rPr>
          <w:rFonts w:hint="eastAsia" w:asciiTheme="majorEastAsia" w:hAnsiTheme="majorEastAsia" w:eastAsiaTheme="majorEastAsia" w:cstheme="majorEastAsia"/>
          <w:color w:val="auto"/>
          <w:sz w:val="24"/>
          <w:szCs w:val="24"/>
          <w:highlight w:val="none"/>
          <w:lang w:val="en-US" w:eastAsia="zh-CN"/>
        </w:rPr>
        <w:t xml:space="preserve">本项目采用网上注册登记方式。 </w:t>
      </w:r>
    </w:p>
    <w:p w14:paraId="77BC4219">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4.售价：0.00元</w:t>
      </w:r>
    </w:p>
    <w:p w14:paraId="342A3796">
      <w:pPr>
        <w:pStyle w:val="36"/>
        <w:numPr>
          <w:ilvl w:val="0"/>
          <w:numId w:val="0"/>
        </w:numPr>
        <w:spacing w:beforeAutospacing="0" w:afterAutospacing="0" w:line="360" w:lineRule="auto"/>
        <w:ind w:left="480" w:leftChars="0"/>
        <w:jc w:val="both"/>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四、提交投标文件截止时间、开标时间和地点</w:t>
      </w:r>
    </w:p>
    <w:p w14:paraId="23C54BC2">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1.时间：</w:t>
      </w:r>
      <w:r>
        <w:rPr>
          <w:rFonts w:hint="eastAsia" w:asciiTheme="majorEastAsia" w:hAnsiTheme="majorEastAsia" w:eastAsiaTheme="majorEastAsia" w:cstheme="majorEastAsia"/>
          <w:color w:val="auto"/>
          <w:sz w:val="24"/>
          <w:szCs w:val="24"/>
          <w:highlight w:val="none"/>
          <w:lang w:val="en-US" w:eastAsia="zh-CN"/>
        </w:rPr>
        <w:t>2025</w:t>
      </w:r>
      <w:r>
        <w:rPr>
          <w:rFonts w:hint="eastAsia" w:asciiTheme="majorEastAsia" w:hAnsiTheme="majorEastAsia" w:eastAsiaTheme="majorEastAsia" w:cstheme="majorEastAsia"/>
          <w:color w:val="auto"/>
          <w:sz w:val="24"/>
          <w:szCs w:val="24"/>
          <w:highlight w:val="none"/>
        </w:rPr>
        <w:t>年</w:t>
      </w:r>
      <w:r>
        <w:rPr>
          <w:rFonts w:hint="eastAsia" w:eastAsia="宋体" w:asciiTheme="majorEastAsia" w:hAnsiTheme="majorEastAsia" w:cstheme="majorEastAsia"/>
          <w:color w:val="auto"/>
          <w:sz w:val="24"/>
          <w:szCs w:val="24"/>
          <w:highlight w:val="none"/>
          <w:lang w:val="en-US" w:eastAsia="zh-CN"/>
        </w:rPr>
        <w:t>12</w:t>
      </w:r>
      <w:r>
        <w:rPr>
          <w:rFonts w:hint="eastAsia" w:asciiTheme="majorEastAsia" w:hAnsiTheme="majorEastAsia" w:eastAsiaTheme="majorEastAsia" w:cstheme="majorEastAsia"/>
          <w:color w:val="auto"/>
          <w:sz w:val="24"/>
          <w:szCs w:val="24"/>
          <w:highlight w:val="none"/>
        </w:rPr>
        <w:t>月</w:t>
      </w:r>
      <w:r>
        <w:rPr>
          <w:rFonts w:hint="eastAsia" w:eastAsia="宋体" w:asciiTheme="majorEastAsia" w:hAnsiTheme="majorEastAsia" w:cstheme="majorEastAsia"/>
          <w:color w:val="auto"/>
          <w:sz w:val="24"/>
          <w:szCs w:val="24"/>
          <w:highlight w:val="none"/>
          <w:lang w:val="en-US" w:eastAsia="zh-CN"/>
        </w:rPr>
        <w:t>08</w:t>
      </w:r>
      <w:r>
        <w:rPr>
          <w:rFonts w:hint="eastAsia" w:asciiTheme="majorEastAsia" w:hAnsiTheme="majorEastAsia" w:eastAsiaTheme="majorEastAsia" w:cstheme="majorEastAsia"/>
          <w:color w:val="auto"/>
          <w:sz w:val="24"/>
          <w:szCs w:val="24"/>
          <w:highlight w:val="none"/>
        </w:rPr>
        <w:t>日09:00</w:t>
      </w:r>
      <w:r>
        <w:rPr>
          <w:rFonts w:hint="eastAsia" w:asciiTheme="majorEastAsia" w:hAnsiTheme="majorEastAsia" w:eastAsiaTheme="majorEastAsia" w:cstheme="majorEastAsia"/>
          <w:color w:val="auto"/>
          <w:sz w:val="24"/>
          <w:szCs w:val="24"/>
          <w:highlight w:val="none"/>
          <w:lang w:val="en-US" w:eastAsia="zh-CN"/>
        </w:rPr>
        <w:t>时</w:t>
      </w:r>
      <w:r>
        <w:rPr>
          <w:rFonts w:hint="eastAsia" w:asciiTheme="majorEastAsia" w:hAnsiTheme="majorEastAsia" w:eastAsiaTheme="majorEastAsia" w:cstheme="majorEastAsia"/>
          <w:color w:val="auto"/>
          <w:sz w:val="24"/>
          <w:szCs w:val="24"/>
          <w:highlight w:val="none"/>
        </w:rPr>
        <w:t>（北京时间）</w:t>
      </w:r>
    </w:p>
    <w:p w14:paraId="1083C037">
      <w:pPr>
        <w:spacing w:line="440" w:lineRule="exact"/>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2.地点：“苏采云”政府采购交易系统网上开标大厅</w:t>
      </w:r>
      <w:r>
        <w:rPr>
          <w:rFonts w:hint="eastAsia" w:ascii="宋体" w:hAnsi="宋体" w:cs="宋体"/>
          <w:color w:val="auto"/>
          <w:sz w:val="24"/>
          <w:szCs w:val="24"/>
          <w:highlight w:val="none"/>
        </w:rPr>
        <w:t>。</w:t>
      </w:r>
    </w:p>
    <w:p w14:paraId="251EF7E9">
      <w:pPr>
        <w:pStyle w:val="36"/>
        <w:spacing w:beforeAutospacing="0" w:afterAutospacing="0" w:line="360" w:lineRule="auto"/>
        <w:ind w:firstLine="480"/>
        <w:jc w:val="both"/>
        <w:rPr>
          <w:rFonts w:hint="eastAsia" w:asciiTheme="majorEastAsia" w:hAnsiTheme="majorEastAsia" w:eastAsiaTheme="majorEastAsia" w:cstheme="majorEastAsia"/>
          <w:b/>
          <w:bCs/>
          <w:color w:val="auto"/>
          <w:sz w:val="24"/>
          <w:szCs w:val="24"/>
          <w:highlight w:val="none"/>
        </w:rPr>
      </w:pPr>
      <w:bookmarkStart w:id="22" w:name="_Toc28359084"/>
      <w:bookmarkStart w:id="23" w:name="_Toc38985267"/>
      <w:bookmarkStart w:id="24" w:name="_Toc35393794"/>
      <w:bookmarkStart w:id="25" w:name="_Toc28359007"/>
      <w:bookmarkStart w:id="26" w:name="_Toc35393625"/>
      <w:r>
        <w:rPr>
          <w:rFonts w:hint="eastAsia" w:asciiTheme="majorEastAsia" w:hAnsiTheme="majorEastAsia" w:eastAsiaTheme="majorEastAsia" w:cstheme="majorEastAsia"/>
          <w:b/>
          <w:bCs/>
          <w:color w:val="auto"/>
          <w:sz w:val="24"/>
          <w:szCs w:val="24"/>
          <w:highlight w:val="none"/>
        </w:rPr>
        <w:t>五、公告期限</w:t>
      </w:r>
      <w:bookmarkEnd w:id="22"/>
      <w:bookmarkEnd w:id="23"/>
      <w:bookmarkEnd w:id="24"/>
      <w:bookmarkEnd w:id="25"/>
      <w:bookmarkEnd w:id="26"/>
    </w:p>
    <w:p w14:paraId="54949F61">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bookmarkStart w:id="27" w:name="_Toc35393795"/>
      <w:bookmarkStart w:id="28" w:name="_Toc38985268"/>
      <w:bookmarkStart w:id="29" w:name="_Toc35393626"/>
      <w:r>
        <w:rPr>
          <w:rFonts w:hint="eastAsia" w:asciiTheme="majorEastAsia" w:hAnsiTheme="majorEastAsia" w:eastAsiaTheme="majorEastAsia" w:cstheme="majorEastAsia"/>
          <w:color w:val="auto"/>
          <w:sz w:val="24"/>
          <w:szCs w:val="24"/>
          <w:highlight w:val="none"/>
          <w:lang w:val="en-US" w:eastAsia="zh-CN"/>
        </w:rPr>
        <w:t>自本公告发布之日起5个工作日。</w:t>
      </w:r>
      <w:bookmarkEnd w:id="27"/>
      <w:bookmarkEnd w:id="28"/>
      <w:bookmarkEnd w:id="29"/>
    </w:p>
    <w:p w14:paraId="5F1AD472">
      <w:pPr>
        <w:pStyle w:val="36"/>
        <w:spacing w:beforeAutospacing="0" w:afterAutospacing="0" w:line="360" w:lineRule="auto"/>
        <w:ind w:firstLine="480"/>
        <w:jc w:val="both"/>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六、其他补充事宜</w:t>
      </w:r>
    </w:p>
    <w:p w14:paraId="7129C98B">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bookmarkStart w:id="30" w:name="_Toc28359018"/>
      <w:r>
        <w:rPr>
          <w:rFonts w:hint="eastAsia" w:asciiTheme="majorEastAsia" w:hAnsiTheme="majorEastAsia" w:eastAsiaTheme="majorEastAsia" w:cstheme="majorEastAsia"/>
          <w:color w:val="auto"/>
          <w:sz w:val="24"/>
          <w:szCs w:val="24"/>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582DFE7">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08072349">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 潜在供应商访问电子招标响应交易平台的网络地址和方法： </w:t>
      </w:r>
    </w:p>
    <w:p w14:paraId="2DCE647A">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0510F188">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2.2 潜在投标人访问“苏采云”系统方法：江苏省政府采购网首页-“苏采云”链接。 </w:t>
      </w:r>
    </w:p>
    <w:p w14:paraId="1A7E834C">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2.3 采购文件（后缀名为“.kedt”）、供应商操作手册及政府采购客户端 工具可通过“苏采云”系统相应链接进行下载。 </w:t>
      </w:r>
    </w:p>
    <w:p w14:paraId="7AC52109">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2.4 采购代理机构将数据电文形式的采购文件加载至“苏采云”系统，供潜在供应商下载或者查阅。 </w:t>
      </w:r>
    </w:p>
    <w:p w14:paraId="15066DA4">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p>
    <w:p w14:paraId="29F3243B">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如潜在投标人未按上述要求操作，将自行承担所产生的风险。</w:t>
      </w:r>
    </w:p>
    <w:p w14:paraId="06CA3CE1">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3.有关本次招标的事项若存在变动或修改，敬请及时关注</w:t>
      </w:r>
      <w:r>
        <w:rPr>
          <w:rFonts w:hint="eastAsia" w:ascii="宋体" w:hAnsi="宋体" w:eastAsia="宋体" w:cs="宋体"/>
          <w:color w:val="auto"/>
          <w:sz w:val="24"/>
          <w:szCs w:val="24"/>
          <w:highlight w:val="none"/>
          <w:lang w:val="en-US" w:eastAsia="zh-CN"/>
        </w:rPr>
        <w:t>采购代理机构</w:t>
      </w:r>
      <w:r>
        <w:rPr>
          <w:rFonts w:hint="eastAsia" w:asciiTheme="majorEastAsia" w:hAnsiTheme="majorEastAsia" w:eastAsiaTheme="majorEastAsia" w:cstheme="majorEastAsia"/>
          <w:color w:val="auto"/>
          <w:sz w:val="24"/>
          <w:szCs w:val="24"/>
          <w:highlight w:val="none"/>
          <w:lang w:val="en-US" w:eastAsia="zh-CN"/>
        </w:rPr>
        <w:t>在“中国政府采购网”“江苏政府采购网”“盐城市政府采购网”发布的更正公告。</w:t>
      </w:r>
    </w:p>
    <w:p w14:paraId="52A11078">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4.本次招标不收取投标保证金，不收取质量保证金。</w:t>
      </w:r>
    </w:p>
    <w:p w14:paraId="4CF67EC9">
      <w:pPr>
        <w:pStyle w:val="36"/>
        <w:spacing w:beforeAutospacing="0" w:afterAutospacing="0" w:line="360" w:lineRule="auto"/>
        <w:ind w:firstLine="480"/>
        <w:jc w:val="both"/>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val="en-US" w:eastAsia="zh-CN"/>
        </w:rPr>
        <w:t>七</w:t>
      </w:r>
      <w:r>
        <w:rPr>
          <w:rFonts w:hint="eastAsia" w:asciiTheme="majorEastAsia" w:hAnsiTheme="majorEastAsia" w:eastAsiaTheme="majorEastAsia" w:cstheme="majorEastAsia"/>
          <w:b/>
          <w:bCs/>
          <w:color w:val="auto"/>
          <w:sz w:val="24"/>
          <w:szCs w:val="24"/>
          <w:highlight w:val="none"/>
        </w:rPr>
        <w:t>、对本次</w:t>
      </w:r>
      <w:r>
        <w:rPr>
          <w:rFonts w:hint="eastAsia" w:asciiTheme="majorEastAsia" w:hAnsiTheme="majorEastAsia" w:eastAsiaTheme="majorEastAsia" w:cstheme="majorEastAsia"/>
          <w:b/>
          <w:bCs/>
          <w:color w:val="auto"/>
          <w:sz w:val="24"/>
          <w:szCs w:val="24"/>
          <w:highlight w:val="none"/>
          <w:lang w:val="en-US" w:eastAsia="zh-CN"/>
        </w:rPr>
        <w:t>招标</w:t>
      </w:r>
      <w:r>
        <w:rPr>
          <w:rFonts w:hint="eastAsia" w:asciiTheme="majorEastAsia" w:hAnsiTheme="majorEastAsia" w:eastAsiaTheme="majorEastAsia" w:cstheme="majorEastAsia"/>
          <w:b/>
          <w:bCs/>
          <w:color w:val="auto"/>
          <w:sz w:val="24"/>
          <w:szCs w:val="24"/>
          <w:highlight w:val="none"/>
        </w:rPr>
        <w:t>提出询问，请按以下方式联系。</w:t>
      </w:r>
      <w:bookmarkEnd w:id="30"/>
    </w:p>
    <w:p w14:paraId="07FE5D81">
      <w:pPr>
        <w:pStyle w:val="36"/>
        <w:spacing w:beforeAutospacing="0" w:afterAutospacing="0" w:line="360" w:lineRule="auto"/>
        <w:ind w:firstLine="480"/>
        <w:jc w:val="both"/>
        <w:rPr>
          <w:rFonts w:hint="eastAsia" w:asciiTheme="majorEastAsia" w:hAnsiTheme="majorEastAsia" w:eastAsiaTheme="majorEastAsia" w:cstheme="majorEastAsia"/>
          <w:b/>
          <w:bCs/>
          <w:color w:val="auto"/>
          <w:sz w:val="24"/>
          <w:szCs w:val="24"/>
          <w:highlight w:val="none"/>
          <w:lang w:val="en-US" w:eastAsia="zh-CN"/>
        </w:rPr>
      </w:pPr>
      <w:bookmarkStart w:id="31" w:name="_Toc28359009"/>
      <w:r>
        <w:rPr>
          <w:rFonts w:hint="eastAsia" w:asciiTheme="majorEastAsia" w:hAnsiTheme="majorEastAsia" w:eastAsiaTheme="majorEastAsia" w:cstheme="majorEastAsia"/>
          <w:b/>
          <w:bCs/>
          <w:color w:val="auto"/>
          <w:sz w:val="24"/>
          <w:szCs w:val="24"/>
          <w:highlight w:val="none"/>
          <w:lang w:val="en-US" w:eastAsia="zh-CN"/>
        </w:rPr>
        <w:t>1.采购人信息</w:t>
      </w:r>
    </w:p>
    <w:p w14:paraId="7E973906">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名  称：盐城市亭湖区人民政府大洋街道办事处</w:t>
      </w:r>
    </w:p>
    <w:p w14:paraId="10A84AC7">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地  址：</w:t>
      </w:r>
      <w:r>
        <w:rPr>
          <w:rFonts w:hint="eastAsia" w:ascii="宋体" w:hAnsi="宋体" w:eastAsia="宋体" w:cs="宋体"/>
          <w:sz w:val="24"/>
        </w:rPr>
        <w:t>盐城市亭湖区范公大厦</w:t>
      </w:r>
      <w:r>
        <w:rPr>
          <w:rFonts w:hint="eastAsia" w:asciiTheme="majorEastAsia" w:hAnsiTheme="majorEastAsia" w:eastAsiaTheme="majorEastAsia" w:cstheme="majorEastAsia"/>
          <w:color w:val="auto"/>
          <w:sz w:val="24"/>
          <w:szCs w:val="24"/>
          <w:highlight w:val="none"/>
          <w:lang w:val="en-US" w:eastAsia="zh-CN"/>
        </w:rPr>
        <w:t xml:space="preserve">  </w:t>
      </w:r>
    </w:p>
    <w:p w14:paraId="6BA20DB0">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联 系 人：周主任  </w:t>
      </w:r>
    </w:p>
    <w:p w14:paraId="74709A1A">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联系方式：17851600669   </w:t>
      </w:r>
    </w:p>
    <w:p w14:paraId="36724458">
      <w:pPr>
        <w:pStyle w:val="36"/>
        <w:spacing w:beforeAutospacing="0" w:afterAutospacing="0" w:line="360" w:lineRule="auto"/>
        <w:ind w:firstLine="480"/>
        <w:jc w:val="both"/>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2.采购代理机构信息</w:t>
      </w:r>
    </w:p>
    <w:p w14:paraId="2C496EB3">
      <w:pPr>
        <w:pStyle w:val="36"/>
        <w:spacing w:beforeAutospacing="0" w:afterAutospacing="0" w:line="360" w:lineRule="auto"/>
        <w:ind w:firstLine="480"/>
        <w:jc w:val="both"/>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名 称：江苏晨进工程造价有限公司</w:t>
      </w:r>
    </w:p>
    <w:p w14:paraId="25B076D4">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地 址：盐城市射阳县五洲国际广场大楼5楼东侧</w:t>
      </w:r>
    </w:p>
    <w:p w14:paraId="6A1B8659">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联系人：吴先生                    </w:t>
      </w:r>
    </w:p>
    <w:p w14:paraId="64B83B2A">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联系方式：</w:t>
      </w:r>
      <w:bookmarkStart w:id="32" w:name="_Toc28359087"/>
      <w:bookmarkStart w:id="33" w:name="_Toc28359010"/>
      <w:r>
        <w:rPr>
          <w:rFonts w:hint="eastAsia" w:asciiTheme="majorEastAsia" w:hAnsiTheme="majorEastAsia" w:eastAsiaTheme="majorEastAsia" w:cstheme="majorEastAsia"/>
          <w:color w:val="auto"/>
          <w:sz w:val="24"/>
          <w:szCs w:val="24"/>
          <w:highlight w:val="none"/>
          <w:lang w:val="en-US" w:eastAsia="zh-CN"/>
        </w:rPr>
        <w:t>15962061631     </w:t>
      </w:r>
      <w:bookmarkEnd w:id="32"/>
      <w:bookmarkEnd w:id="33"/>
      <w:r>
        <w:rPr>
          <w:rFonts w:hint="eastAsia" w:asciiTheme="majorEastAsia" w:hAnsiTheme="majorEastAsia" w:eastAsiaTheme="majorEastAsia" w:cstheme="majorEastAsia"/>
          <w:color w:val="auto"/>
          <w:sz w:val="24"/>
          <w:szCs w:val="24"/>
          <w:highlight w:val="none"/>
          <w:lang w:val="en-US" w:eastAsia="zh-CN"/>
        </w:rPr>
        <w:t xml:space="preserve">            </w:t>
      </w:r>
    </w:p>
    <w:p w14:paraId="08A96644">
      <w:pPr>
        <w:pStyle w:val="36"/>
        <w:spacing w:beforeAutospacing="0" w:afterAutospacing="0" w:line="360" w:lineRule="auto"/>
        <w:ind w:firstLine="480"/>
        <w:jc w:val="both"/>
        <w:rPr>
          <w:rFonts w:hint="eastAsia" w:asciiTheme="majorEastAsia" w:hAnsiTheme="majorEastAsia" w:eastAsiaTheme="majorEastAsia" w:cstheme="majorEastAsia"/>
          <w:b/>
          <w:bCs/>
          <w:color w:val="auto"/>
          <w:sz w:val="24"/>
          <w:szCs w:val="24"/>
          <w:highlight w:val="none"/>
          <w:lang w:val="en-US" w:eastAsia="zh-CN"/>
        </w:rPr>
      </w:pPr>
      <w:bookmarkStart w:id="34" w:name="_Toc28359021"/>
      <w:r>
        <w:rPr>
          <w:rFonts w:hint="eastAsia" w:asciiTheme="majorEastAsia" w:hAnsiTheme="majorEastAsia" w:eastAsiaTheme="majorEastAsia" w:cstheme="majorEastAsia"/>
          <w:b/>
          <w:bCs/>
          <w:color w:val="auto"/>
          <w:sz w:val="24"/>
          <w:szCs w:val="24"/>
          <w:highlight w:val="none"/>
          <w:lang w:val="en-US" w:eastAsia="zh-CN"/>
        </w:rPr>
        <w:t>3.</w:t>
      </w:r>
      <w:bookmarkEnd w:id="34"/>
      <w:r>
        <w:rPr>
          <w:rFonts w:hint="eastAsia" w:asciiTheme="majorEastAsia" w:hAnsiTheme="majorEastAsia" w:eastAsiaTheme="majorEastAsia" w:cstheme="majorEastAsia"/>
          <w:b/>
          <w:bCs/>
          <w:color w:val="auto"/>
          <w:sz w:val="24"/>
          <w:szCs w:val="24"/>
          <w:highlight w:val="none"/>
          <w:lang w:val="en-US" w:eastAsia="zh-CN"/>
        </w:rPr>
        <w:t>项目联系方式</w:t>
      </w:r>
    </w:p>
    <w:p w14:paraId="7148E873">
      <w:pPr>
        <w:pStyle w:val="36"/>
        <w:spacing w:beforeAutospacing="0" w:afterAutospacing="0" w:line="360" w:lineRule="auto"/>
        <w:ind w:firstLine="480"/>
        <w:jc w:val="both"/>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项目联系人：周主任  </w:t>
      </w:r>
    </w:p>
    <w:p w14:paraId="127743C8">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电　　 话：17851600669 　　　　　　</w:t>
      </w:r>
    </w:p>
    <w:p w14:paraId="738E37F5">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w:t>
      </w:r>
      <w:bookmarkStart w:id="35" w:name="_Toc120614211"/>
    </w:p>
    <w:p w14:paraId="2A1F3444">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rPr>
      </w:pPr>
    </w:p>
    <w:p w14:paraId="3FAEC98E">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rPr>
      </w:pPr>
    </w:p>
    <w:p w14:paraId="4E91B5FB">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rPr>
      </w:pPr>
    </w:p>
    <w:p w14:paraId="68337D3B">
      <w:pPr>
        <w:pStyle w:val="36"/>
        <w:spacing w:beforeAutospacing="0" w:afterAutospacing="0" w:line="360" w:lineRule="auto"/>
        <w:jc w:val="both"/>
        <w:rPr>
          <w:rFonts w:hint="eastAsia" w:asciiTheme="majorEastAsia" w:hAnsiTheme="majorEastAsia" w:eastAsiaTheme="majorEastAsia" w:cstheme="majorEastAsia"/>
          <w:color w:val="auto"/>
          <w:sz w:val="24"/>
          <w:szCs w:val="24"/>
          <w:highlight w:val="none"/>
        </w:rPr>
      </w:pPr>
    </w:p>
    <w:p w14:paraId="06D6C974">
      <w:pPr>
        <w:pStyle w:val="36"/>
        <w:keepNext/>
        <w:keepLines/>
        <w:spacing w:before="260" w:beforeAutospacing="0" w:after="260" w:afterAutospacing="0" w:line="415"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44"/>
          <w:szCs w:val="44"/>
          <w:highlight w:val="none"/>
        </w:rPr>
        <w:t xml:space="preserve">第二章  </w:t>
      </w:r>
      <w:bookmarkEnd w:id="35"/>
      <w:bookmarkStart w:id="36" w:name="_Toc20823274"/>
      <w:bookmarkStart w:id="37" w:name="_Toc513029202"/>
      <w:bookmarkStart w:id="38" w:name="_Toc16938518"/>
      <w:bookmarkStart w:id="39" w:name="_Toc120614213"/>
      <w:r>
        <w:rPr>
          <w:rFonts w:hint="eastAsia" w:asciiTheme="majorEastAsia" w:hAnsiTheme="majorEastAsia" w:eastAsiaTheme="majorEastAsia" w:cstheme="majorEastAsia"/>
          <w:b/>
          <w:color w:val="auto"/>
          <w:sz w:val="44"/>
          <w:szCs w:val="44"/>
          <w:highlight w:val="none"/>
        </w:rPr>
        <w:t>投标人须知</w:t>
      </w:r>
      <w:bookmarkEnd w:id="36"/>
      <w:bookmarkEnd w:id="37"/>
      <w:bookmarkEnd w:id="38"/>
      <w:bookmarkEnd w:id="39"/>
    </w:p>
    <w:p w14:paraId="0E759D45">
      <w:pPr>
        <w:pStyle w:val="36"/>
        <w:keepNext/>
        <w:keepLines/>
        <w:spacing w:before="145" w:beforeAutospacing="0" w:after="145" w:afterAutospacing="0" w:line="360" w:lineRule="auto"/>
        <w:ind w:firstLine="643"/>
        <w:jc w:val="both"/>
        <w:rPr>
          <w:rFonts w:hint="eastAsia" w:asciiTheme="majorEastAsia" w:hAnsiTheme="majorEastAsia" w:eastAsiaTheme="majorEastAsia" w:cstheme="majorEastAsia"/>
          <w:color w:val="auto"/>
          <w:highlight w:val="none"/>
        </w:rPr>
      </w:pPr>
      <w:bookmarkStart w:id="40" w:name="_Toc120614214"/>
      <w:bookmarkStart w:id="41" w:name="_Toc513029203"/>
      <w:bookmarkStart w:id="42" w:name="_Toc16938519"/>
      <w:bookmarkStart w:id="43" w:name="_Toc20823275"/>
      <w:r>
        <w:rPr>
          <w:rFonts w:hint="eastAsia" w:asciiTheme="majorEastAsia" w:hAnsiTheme="majorEastAsia" w:eastAsiaTheme="majorEastAsia" w:cstheme="majorEastAsia"/>
          <w:b/>
          <w:color w:val="auto"/>
          <w:sz w:val="32"/>
          <w:szCs w:val="32"/>
          <w:highlight w:val="none"/>
        </w:rPr>
        <w:t>一、总则</w:t>
      </w:r>
      <w:bookmarkEnd w:id="40"/>
      <w:bookmarkEnd w:id="41"/>
      <w:bookmarkEnd w:id="42"/>
      <w:bookmarkEnd w:id="43"/>
    </w:p>
    <w:p w14:paraId="6518B2AC">
      <w:pPr>
        <w:pStyle w:val="36"/>
        <w:keepNext/>
        <w:keepLines/>
        <w:spacing w:beforeAutospacing="0" w:afterAutospacing="0" w:line="360" w:lineRule="auto"/>
        <w:ind w:firstLine="562"/>
        <w:jc w:val="both"/>
        <w:rPr>
          <w:rFonts w:hint="eastAsia" w:asciiTheme="majorEastAsia" w:hAnsiTheme="majorEastAsia" w:eastAsiaTheme="majorEastAsia" w:cstheme="majorEastAsia"/>
          <w:b/>
          <w:bCs/>
          <w:color w:val="auto"/>
          <w:highlight w:val="none"/>
        </w:rPr>
      </w:pPr>
      <w:bookmarkStart w:id="44" w:name="_Toc16938520"/>
      <w:bookmarkStart w:id="45" w:name="_Toc458694821"/>
      <w:bookmarkStart w:id="46" w:name="_Toc20823276"/>
      <w:bookmarkStart w:id="47" w:name="_Toc513029204"/>
      <w:bookmarkStart w:id="48" w:name="_Hlt16619475"/>
      <w:r>
        <w:rPr>
          <w:rFonts w:hint="eastAsia" w:asciiTheme="majorEastAsia" w:hAnsiTheme="majorEastAsia" w:eastAsiaTheme="majorEastAsia" w:cstheme="majorEastAsia"/>
          <w:b/>
          <w:bCs/>
          <w:color w:val="auto"/>
          <w:sz w:val="28"/>
          <w:szCs w:val="28"/>
          <w:highlight w:val="none"/>
        </w:rPr>
        <w:t>1</w:t>
      </w:r>
      <w:bookmarkEnd w:id="44"/>
      <w:r>
        <w:rPr>
          <w:rFonts w:hint="eastAsia" w:asciiTheme="majorEastAsia" w:hAnsiTheme="majorEastAsia" w:eastAsiaTheme="majorEastAsia" w:cstheme="majorEastAsia"/>
          <w:b/>
          <w:bCs/>
          <w:color w:val="auto"/>
          <w:sz w:val="28"/>
          <w:szCs w:val="28"/>
          <w:highlight w:val="none"/>
        </w:rPr>
        <w:t>、招标方式</w:t>
      </w:r>
      <w:bookmarkEnd w:id="45"/>
      <w:bookmarkEnd w:id="46"/>
      <w:bookmarkEnd w:id="47"/>
    </w:p>
    <w:p w14:paraId="535DCDCE">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1.1本次招标采取公开招标方式，本招标文件仅适用于招标公告中所述项目。</w:t>
      </w:r>
    </w:p>
    <w:p w14:paraId="69F01AAA">
      <w:pPr>
        <w:pStyle w:val="36"/>
        <w:keepNext/>
        <w:keepLines/>
        <w:spacing w:beforeAutospacing="0" w:afterAutospacing="0" w:line="360" w:lineRule="auto"/>
        <w:ind w:firstLine="562"/>
        <w:jc w:val="both"/>
        <w:rPr>
          <w:rFonts w:hint="eastAsia" w:asciiTheme="majorEastAsia" w:hAnsiTheme="majorEastAsia" w:eastAsiaTheme="majorEastAsia" w:cstheme="majorEastAsia"/>
          <w:b/>
          <w:bCs/>
          <w:color w:val="auto"/>
          <w:highlight w:val="none"/>
        </w:rPr>
      </w:pPr>
      <w:bookmarkStart w:id="49" w:name="_Toc20823277"/>
      <w:bookmarkStart w:id="50" w:name="_Toc513029205"/>
      <w:bookmarkStart w:id="51" w:name="_Toc16938521"/>
      <w:r>
        <w:rPr>
          <w:rFonts w:hint="eastAsia" w:asciiTheme="majorEastAsia" w:hAnsiTheme="majorEastAsia" w:eastAsiaTheme="majorEastAsia" w:cstheme="majorEastAsia"/>
          <w:b/>
          <w:bCs/>
          <w:color w:val="auto"/>
          <w:sz w:val="28"/>
          <w:szCs w:val="28"/>
          <w:highlight w:val="none"/>
        </w:rPr>
        <w:t>2、合格的投标人</w:t>
      </w:r>
      <w:bookmarkEnd w:id="49"/>
      <w:bookmarkEnd w:id="50"/>
      <w:bookmarkEnd w:id="51"/>
    </w:p>
    <w:p w14:paraId="156A0EFF">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2.1满足招标公告中供应商的资格要求的规定。</w:t>
      </w:r>
    </w:p>
    <w:p w14:paraId="4B5BC898">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2.2满足本文件实质性要求和条件的规定。</w:t>
      </w:r>
    </w:p>
    <w:p w14:paraId="62CBB934">
      <w:pPr>
        <w:pStyle w:val="36"/>
        <w:keepNext/>
        <w:keepLines/>
        <w:spacing w:beforeAutospacing="0" w:afterAutospacing="0" w:line="360" w:lineRule="auto"/>
        <w:ind w:firstLine="562"/>
        <w:jc w:val="both"/>
        <w:rPr>
          <w:rFonts w:hint="eastAsia" w:asciiTheme="majorEastAsia" w:hAnsiTheme="majorEastAsia" w:eastAsiaTheme="majorEastAsia" w:cstheme="majorEastAsia"/>
          <w:b/>
          <w:bCs/>
          <w:color w:val="auto"/>
          <w:highlight w:val="none"/>
        </w:rPr>
      </w:pPr>
      <w:bookmarkStart w:id="52" w:name="_Toc513029206"/>
      <w:bookmarkStart w:id="53" w:name="_Toc20823278"/>
      <w:bookmarkStart w:id="54" w:name="_Toc16938522"/>
      <w:r>
        <w:rPr>
          <w:rFonts w:hint="eastAsia" w:asciiTheme="majorEastAsia" w:hAnsiTheme="majorEastAsia" w:eastAsiaTheme="majorEastAsia" w:cstheme="majorEastAsia"/>
          <w:b/>
          <w:bCs/>
          <w:color w:val="auto"/>
          <w:sz w:val="28"/>
          <w:szCs w:val="28"/>
          <w:highlight w:val="none"/>
        </w:rPr>
        <w:t>3、适用法律</w:t>
      </w:r>
      <w:bookmarkEnd w:id="52"/>
      <w:bookmarkEnd w:id="53"/>
      <w:bookmarkEnd w:id="54"/>
    </w:p>
    <w:p w14:paraId="26417C55">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3.1本次招标及由此产生的合同受中华人民共和国有关的法律法规制约和保护。</w:t>
      </w:r>
    </w:p>
    <w:p w14:paraId="5484CDFB">
      <w:pPr>
        <w:pStyle w:val="36"/>
        <w:keepNext/>
        <w:keepLines/>
        <w:spacing w:beforeAutospacing="0" w:afterAutospacing="0" w:line="360" w:lineRule="auto"/>
        <w:ind w:firstLine="562"/>
        <w:jc w:val="both"/>
        <w:rPr>
          <w:rFonts w:hint="eastAsia" w:asciiTheme="majorEastAsia" w:hAnsiTheme="majorEastAsia" w:eastAsiaTheme="majorEastAsia" w:cstheme="majorEastAsia"/>
          <w:b/>
          <w:bCs/>
          <w:color w:val="auto"/>
          <w:sz w:val="28"/>
          <w:szCs w:val="28"/>
          <w:highlight w:val="none"/>
        </w:rPr>
      </w:pPr>
      <w:bookmarkStart w:id="55" w:name="_Toc16938523"/>
      <w:bookmarkStart w:id="56" w:name="_Toc513029207"/>
      <w:bookmarkStart w:id="57" w:name="_Toc462564067"/>
      <w:bookmarkStart w:id="58" w:name="_Toc20823279"/>
      <w:r>
        <w:rPr>
          <w:rFonts w:hint="eastAsia" w:asciiTheme="majorEastAsia" w:hAnsiTheme="majorEastAsia" w:eastAsiaTheme="majorEastAsia" w:cstheme="majorEastAsia"/>
          <w:b/>
          <w:bCs/>
          <w:color w:val="auto"/>
          <w:sz w:val="28"/>
          <w:szCs w:val="28"/>
          <w:highlight w:val="none"/>
        </w:rPr>
        <w:t>4、投标费用</w:t>
      </w:r>
      <w:bookmarkEnd w:id="55"/>
      <w:bookmarkEnd w:id="56"/>
      <w:bookmarkEnd w:id="57"/>
      <w:bookmarkEnd w:id="58"/>
    </w:p>
    <w:p w14:paraId="48AC9BAC">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4.1投标人应自行承担所有与参加投标有关的费用，无论投标过程中的做法和结果如何，</w:t>
      </w:r>
      <w:r>
        <w:rPr>
          <w:rFonts w:hint="eastAsia" w:asciiTheme="majorEastAsia" w:hAnsiTheme="majorEastAsia" w:eastAsiaTheme="majorEastAsia" w:cstheme="majorEastAsia"/>
          <w:color w:val="auto"/>
          <w:highlight w:val="none"/>
          <w:lang w:val="en-US" w:eastAsia="zh-CN"/>
        </w:rPr>
        <w:t>采购人和采购代理机构</w:t>
      </w:r>
      <w:r>
        <w:rPr>
          <w:rFonts w:hint="eastAsia" w:asciiTheme="majorEastAsia" w:hAnsiTheme="majorEastAsia" w:eastAsiaTheme="majorEastAsia" w:cstheme="majorEastAsia"/>
          <w:color w:val="auto"/>
          <w:highlight w:val="none"/>
        </w:rPr>
        <w:t>在任何情况下均无义务和责任承担这些费用。</w:t>
      </w:r>
    </w:p>
    <w:p w14:paraId="3504911C">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4.2本次招标采购人和</w:t>
      </w:r>
      <w:r>
        <w:rPr>
          <w:rFonts w:hint="eastAsia" w:asciiTheme="majorEastAsia" w:hAnsiTheme="majorEastAsia" w:eastAsiaTheme="majorEastAsia" w:cstheme="majorEastAsia"/>
          <w:color w:val="auto"/>
          <w:highlight w:val="none"/>
          <w:lang w:eastAsia="zh-CN"/>
        </w:rPr>
        <w:t>采购代理机构</w:t>
      </w:r>
      <w:r>
        <w:rPr>
          <w:rFonts w:hint="eastAsia" w:asciiTheme="majorEastAsia" w:hAnsiTheme="majorEastAsia" w:eastAsiaTheme="majorEastAsia" w:cstheme="majorEastAsia"/>
          <w:color w:val="auto"/>
          <w:highlight w:val="none"/>
        </w:rPr>
        <w:t>不收取标书工本费。</w:t>
      </w:r>
    </w:p>
    <w:p w14:paraId="70DB12C0">
      <w:pPr>
        <w:pStyle w:val="36"/>
        <w:keepNext/>
        <w:keepLines/>
        <w:spacing w:beforeAutospacing="0" w:afterAutospacing="0" w:line="360" w:lineRule="auto"/>
        <w:ind w:firstLine="562"/>
        <w:jc w:val="both"/>
        <w:rPr>
          <w:rFonts w:hint="eastAsia" w:asciiTheme="majorEastAsia" w:hAnsiTheme="majorEastAsia" w:eastAsiaTheme="majorEastAsia" w:cstheme="majorEastAsia"/>
          <w:b/>
          <w:bCs w:val="0"/>
          <w:color w:val="auto"/>
          <w:sz w:val="28"/>
          <w:szCs w:val="28"/>
          <w:highlight w:val="none"/>
        </w:rPr>
      </w:pPr>
      <w:r>
        <w:rPr>
          <w:rFonts w:hint="eastAsia" w:asciiTheme="majorEastAsia" w:hAnsiTheme="majorEastAsia" w:eastAsiaTheme="majorEastAsia" w:cstheme="majorEastAsia"/>
          <w:b/>
          <w:bCs w:val="0"/>
          <w:color w:val="auto"/>
          <w:sz w:val="28"/>
          <w:szCs w:val="28"/>
          <w:highlight w:val="none"/>
        </w:rPr>
        <w:t>5、招标文件的约束力</w:t>
      </w:r>
    </w:p>
    <w:p w14:paraId="6F765A53">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5.1投标人一旦参加本项目采购活动，即被认为接受了本招标文件的规定和约束。</w:t>
      </w:r>
    </w:p>
    <w:p w14:paraId="35357809">
      <w:pPr>
        <w:pStyle w:val="36"/>
        <w:keepNext/>
        <w:keepLines/>
        <w:spacing w:before="145" w:beforeAutospacing="0" w:after="145" w:afterAutospacing="0" w:line="360" w:lineRule="auto"/>
        <w:ind w:firstLine="643"/>
        <w:jc w:val="both"/>
        <w:rPr>
          <w:rFonts w:hint="eastAsia" w:asciiTheme="majorEastAsia" w:hAnsiTheme="majorEastAsia" w:eastAsiaTheme="majorEastAsia" w:cstheme="majorEastAsia"/>
          <w:color w:val="auto"/>
          <w:highlight w:val="none"/>
        </w:rPr>
      </w:pPr>
      <w:bookmarkStart w:id="59" w:name="_Toc120614215"/>
      <w:bookmarkStart w:id="60" w:name="_Toc16938525"/>
      <w:bookmarkStart w:id="61" w:name="_Toc20823281"/>
      <w:bookmarkStart w:id="62" w:name="_Toc513029209"/>
      <w:r>
        <w:rPr>
          <w:rFonts w:hint="eastAsia" w:asciiTheme="majorEastAsia" w:hAnsiTheme="majorEastAsia" w:eastAsiaTheme="majorEastAsia" w:cstheme="majorEastAsia"/>
          <w:b/>
          <w:color w:val="auto"/>
          <w:sz w:val="32"/>
          <w:szCs w:val="32"/>
          <w:highlight w:val="none"/>
        </w:rPr>
        <w:t>二、招标文件</w:t>
      </w:r>
      <w:bookmarkEnd w:id="59"/>
      <w:bookmarkEnd w:id="60"/>
      <w:bookmarkEnd w:id="61"/>
      <w:bookmarkEnd w:id="62"/>
    </w:p>
    <w:p w14:paraId="314D01CA">
      <w:pPr>
        <w:pStyle w:val="36"/>
        <w:keepNext/>
        <w:keepLines/>
        <w:spacing w:beforeAutospacing="0" w:afterAutospacing="0" w:line="360" w:lineRule="auto"/>
        <w:ind w:firstLine="562"/>
        <w:jc w:val="both"/>
        <w:rPr>
          <w:rFonts w:hint="eastAsia" w:asciiTheme="majorEastAsia" w:hAnsiTheme="majorEastAsia" w:eastAsiaTheme="majorEastAsia" w:cstheme="majorEastAsia"/>
          <w:b/>
          <w:bCs/>
          <w:color w:val="auto"/>
          <w:sz w:val="28"/>
          <w:szCs w:val="28"/>
          <w:highlight w:val="none"/>
        </w:rPr>
      </w:pPr>
      <w:bookmarkStart w:id="63" w:name="_Toc513029210"/>
      <w:bookmarkStart w:id="64" w:name="_Toc16938526"/>
      <w:bookmarkStart w:id="65" w:name="_Toc20823282"/>
      <w:r>
        <w:rPr>
          <w:rFonts w:hint="eastAsia" w:asciiTheme="majorEastAsia" w:hAnsiTheme="majorEastAsia" w:eastAsiaTheme="majorEastAsia" w:cstheme="majorEastAsia"/>
          <w:b/>
          <w:bCs/>
          <w:color w:val="auto"/>
          <w:sz w:val="28"/>
          <w:szCs w:val="28"/>
          <w:highlight w:val="none"/>
        </w:rPr>
        <w:t>6、招标文件构成</w:t>
      </w:r>
      <w:bookmarkEnd w:id="63"/>
      <w:bookmarkEnd w:id="64"/>
      <w:bookmarkEnd w:id="65"/>
    </w:p>
    <w:p w14:paraId="153F0479">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6.1 招标文件由以下部分组成：</w:t>
      </w:r>
    </w:p>
    <w:p w14:paraId="6E731AEB">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rPr>
        <w:t>（1）</w:t>
      </w:r>
      <w:r>
        <w:rPr>
          <w:rFonts w:hint="eastAsia" w:asciiTheme="majorEastAsia" w:hAnsiTheme="majorEastAsia" w:eastAsiaTheme="majorEastAsia" w:cstheme="majorEastAsia"/>
          <w:color w:val="auto"/>
          <w:highlight w:val="none"/>
          <w:lang w:val="en-US" w:eastAsia="zh-CN"/>
        </w:rPr>
        <w:t>招标公告</w:t>
      </w:r>
    </w:p>
    <w:p w14:paraId="71B3E411">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（2）投标人须知</w:t>
      </w:r>
    </w:p>
    <w:p w14:paraId="485122F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（3）合同文本</w:t>
      </w:r>
    </w:p>
    <w:p w14:paraId="6CC0B21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（4）采购需求</w:t>
      </w:r>
    </w:p>
    <w:p w14:paraId="56F68487">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（5）评标方法与评标标准</w:t>
      </w:r>
    </w:p>
    <w:p w14:paraId="60CDE1B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（6）投标文件格式</w:t>
      </w:r>
    </w:p>
    <w:p w14:paraId="46B8720F">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请仔细检查招标文件是否齐全，如有缺漏请立即与采购</w:t>
      </w:r>
      <w:r>
        <w:rPr>
          <w:rFonts w:hint="eastAsia" w:asciiTheme="majorEastAsia" w:hAnsiTheme="majorEastAsia" w:eastAsiaTheme="majorEastAsia" w:cstheme="majorEastAsia"/>
          <w:color w:val="auto"/>
          <w:highlight w:val="none"/>
          <w:lang w:val="en-US" w:eastAsia="zh-CN"/>
        </w:rPr>
        <w:t>人</w:t>
      </w:r>
      <w:r>
        <w:rPr>
          <w:rFonts w:hint="eastAsia" w:ascii="宋体" w:hAnsi="宋体" w:eastAsia="宋体" w:cs="宋体"/>
          <w:b w:val="0"/>
          <w:bCs/>
          <w:color w:val="auto"/>
          <w:sz w:val="24"/>
          <w:highlight w:val="none"/>
        </w:rPr>
        <w:t>或采购代理机构</w:t>
      </w:r>
      <w:r>
        <w:rPr>
          <w:rFonts w:hint="eastAsia" w:ascii="宋体" w:hAnsi="宋体" w:eastAsia="宋体" w:cs="宋体"/>
          <w:color w:val="auto"/>
          <w:highlight w:val="none"/>
        </w:rPr>
        <w:t>联系</w:t>
      </w:r>
      <w:r>
        <w:rPr>
          <w:rFonts w:hint="eastAsia" w:asciiTheme="majorEastAsia" w:hAnsiTheme="majorEastAsia" w:eastAsiaTheme="majorEastAsia" w:cstheme="majorEastAsia"/>
          <w:color w:val="auto"/>
          <w:highlight w:val="none"/>
        </w:rPr>
        <w:t>解决。</w:t>
      </w:r>
    </w:p>
    <w:p w14:paraId="44A440E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E0A2AF0">
      <w:pPr>
        <w:pStyle w:val="36"/>
        <w:keepNext/>
        <w:keepLines/>
        <w:spacing w:beforeAutospacing="0" w:afterAutospacing="0" w:line="360" w:lineRule="auto"/>
        <w:ind w:firstLine="560"/>
        <w:jc w:val="both"/>
        <w:rPr>
          <w:rFonts w:hint="eastAsia" w:asciiTheme="minorEastAsia" w:hAnsiTheme="minorEastAsia" w:eastAsiaTheme="minorEastAsia" w:cstheme="minorEastAsia"/>
          <w:b/>
          <w:bCs/>
          <w:color w:val="auto"/>
          <w:highlight w:val="none"/>
        </w:rPr>
      </w:pPr>
      <w:bookmarkStart w:id="66" w:name="_Toc513029211"/>
      <w:bookmarkStart w:id="67" w:name="_Toc20823283"/>
      <w:bookmarkStart w:id="68" w:name="_Toc462564070"/>
      <w:bookmarkStart w:id="69" w:name="_Toc16938527"/>
      <w:r>
        <w:rPr>
          <w:rFonts w:hint="eastAsia" w:asciiTheme="minorEastAsia" w:hAnsiTheme="minorEastAsia" w:eastAsiaTheme="minorEastAsia" w:cstheme="minorEastAsia"/>
          <w:b/>
          <w:bCs/>
          <w:color w:val="auto"/>
          <w:sz w:val="28"/>
          <w:szCs w:val="28"/>
          <w:highlight w:val="none"/>
        </w:rPr>
        <w:t>7、招标文件的澄清</w:t>
      </w:r>
      <w:bookmarkEnd w:id="66"/>
      <w:bookmarkEnd w:id="67"/>
      <w:bookmarkEnd w:id="68"/>
      <w:bookmarkEnd w:id="69"/>
    </w:p>
    <w:p w14:paraId="74058DD5">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7.1任何要求对招标文件进行澄清的投标人，应在投标截止期</w:t>
      </w:r>
      <w:r>
        <w:rPr>
          <w:rFonts w:hint="eastAsia" w:asciiTheme="majorEastAsia" w:hAnsiTheme="majorEastAsia" w:eastAsiaTheme="majorEastAsia" w:cstheme="majorEastAsia"/>
          <w:b/>
          <w:color w:val="auto"/>
          <w:highlight w:val="none"/>
        </w:rPr>
        <w:t>十日</w:t>
      </w:r>
      <w:r>
        <w:rPr>
          <w:rFonts w:hint="eastAsia" w:asciiTheme="majorEastAsia" w:hAnsiTheme="majorEastAsia" w:eastAsiaTheme="majorEastAsia" w:cstheme="majorEastAsia"/>
          <w:color w:val="auto"/>
          <w:highlight w:val="none"/>
        </w:rPr>
        <w:t>前按招标公告中的通讯地址，</w:t>
      </w:r>
      <w:r>
        <w:rPr>
          <w:rFonts w:hint="eastAsia" w:ascii="宋体" w:hAnsi="宋体" w:eastAsia="宋体" w:cs="宋体"/>
          <w:color w:val="auto"/>
          <w:highlight w:val="none"/>
        </w:rPr>
        <w:t>以书面形式通知</w:t>
      </w:r>
      <w:r>
        <w:rPr>
          <w:rFonts w:hint="eastAsia" w:ascii="宋体" w:hAnsi="宋体" w:eastAsia="宋体" w:cs="宋体"/>
          <w:b w:val="0"/>
          <w:bCs/>
          <w:color w:val="auto"/>
          <w:sz w:val="24"/>
          <w:highlight w:val="none"/>
        </w:rPr>
        <w:t>采购代理机构</w:t>
      </w:r>
      <w:r>
        <w:rPr>
          <w:rFonts w:hint="eastAsia" w:ascii="宋体" w:hAnsi="宋体" w:eastAsia="宋体" w:cs="宋体"/>
          <w:color w:val="auto"/>
          <w:highlight w:val="none"/>
        </w:rPr>
        <w:t>。</w:t>
      </w:r>
    </w:p>
    <w:p w14:paraId="41E86CDA">
      <w:pPr>
        <w:pStyle w:val="36"/>
        <w:keepNext/>
        <w:keepLines/>
        <w:spacing w:beforeAutospacing="0" w:afterAutospacing="0" w:line="360" w:lineRule="auto"/>
        <w:ind w:firstLine="560"/>
        <w:jc w:val="both"/>
        <w:rPr>
          <w:rFonts w:hint="eastAsia" w:asciiTheme="minorEastAsia" w:hAnsiTheme="minorEastAsia" w:eastAsiaTheme="minorEastAsia" w:cstheme="minorEastAsia"/>
          <w:b/>
          <w:bCs/>
          <w:color w:val="auto"/>
          <w:sz w:val="28"/>
          <w:szCs w:val="28"/>
          <w:highlight w:val="none"/>
        </w:rPr>
      </w:pPr>
      <w:bookmarkStart w:id="70" w:name="_Toc16938528"/>
      <w:bookmarkStart w:id="71" w:name="_Toc462564071"/>
      <w:bookmarkStart w:id="72" w:name="_Toc513029212"/>
      <w:bookmarkStart w:id="73" w:name="_Toc20823284"/>
      <w:r>
        <w:rPr>
          <w:rFonts w:hint="eastAsia" w:asciiTheme="minorEastAsia" w:hAnsiTheme="minorEastAsia" w:eastAsiaTheme="minorEastAsia" w:cstheme="minorEastAsia"/>
          <w:b/>
          <w:bCs/>
          <w:color w:val="auto"/>
          <w:sz w:val="28"/>
          <w:szCs w:val="28"/>
          <w:highlight w:val="none"/>
        </w:rPr>
        <w:t>8、招标文件的修改</w:t>
      </w:r>
      <w:bookmarkEnd w:id="70"/>
      <w:bookmarkEnd w:id="71"/>
      <w:bookmarkEnd w:id="72"/>
      <w:bookmarkEnd w:id="73"/>
    </w:p>
    <w:p w14:paraId="5DD69D8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8.1在投标截止时间前，采购</w:t>
      </w:r>
      <w:r>
        <w:rPr>
          <w:rFonts w:hint="eastAsia" w:asciiTheme="majorEastAsia" w:hAnsiTheme="majorEastAsia" w:eastAsiaTheme="majorEastAsia" w:cstheme="majorEastAsia"/>
          <w:color w:val="auto"/>
          <w:highlight w:val="none"/>
          <w:lang w:val="en-US" w:eastAsia="zh-CN"/>
        </w:rPr>
        <w:t>人</w:t>
      </w:r>
      <w:r>
        <w:rPr>
          <w:rFonts w:hint="eastAsia" w:asciiTheme="majorEastAsia" w:hAnsiTheme="majorEastAsia" w:eastAsiaTheme="majorEastAsia" w:cstheme="majorEastAsia"/>
          <w:color w:val="auto"/>
          <w:highlight w:val="none"/>
        </w:rPr>
        <w:t>可以对招标文件进行修改。</w:t>
      </w:r>
    </w:p>
    <w:p w14:paraId="679F439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8.2采购</w:t>
      </w:r>
      <w:r>
        <w:rPr>
          <w:rFonts w:hint="eastAsia" w:asciiTheme="majorEastAsia" w:hAnsiTheme="majorEastAsia" w:eastAsiaTheme="majorEastAsia" w:cstheme="majorEastAsia"/>
          <w:color w:val="auto"/>
          <w:highlight w:val="none"/>
          <w:lang w:val="en-US" w:eastAsia="zh-CN"/>
        </w:rPr>
        <w:t>人</w:t>
      </w:r>
      <w:r>
        <w:rPr>
          <w:rFonts w:hint="eastAsia" w:asciiTheme="majorEastAsia" w:hAnsiTheme="majorEastAsia" w:eastAsiaTheme="majorEastAsia" w:cstheme="majorEastAsia"/>
          <w:color w:val="auto"/>
          <w:highlight w:val="none"/>
        </w:rPr>
        <w:t>有权按照法定的要求推迟投标截止日期和开标日期。</w:t>
      </w:r>
    </w:p>
    <w:p w14:paraId="0A0122E5">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8.3招标文件的修改将在</w:t>
      </w:r>
      <w:r>
        <w:rPr>
          <w:rFonts w:hint="eastAsia" w:asciiTheme="majorEastAsia" w:hAnsiTheme="majorEastAsia" w:eastAsiaTheme="majorEastAsia" w:cstheme="majorEastAsia"/>
          <w:color w:val="auto"/>
          <w:highlight w:val="none"/>
          <w:lang w:val="en-US" w:eastAsia="zh-CN"/>
        </w:rPr>
        <w:t>中国政府采购网、</w:t>
      </w:r>
      <w:r>
        <w:rPr>
          <w:rFonts w:hint="eastAsia" w:asciiTheme="majorEastAsia" w:hAnsiTheme="majorEastAsia" w:eastAsiaTheme="majorEastAsia" w:cstheme="majorEastAsia"/>
          <w:color w:val="auto"/>
          <w:highlight w:val="none"/>
        </w:rPr>
        <w:t>江苏政府采购网</w:t>
      </w:r>
      <w:r>
        <w:rPr>
          <w:rFonts w:hint="eastAsia" w:asciiTheme="majorEastAsia" w:hAnsiTheme="majorEastAsia" w:eastAsiaTheme="majorEastAsia" w:cstheme="majorEastAsia"/>
          <w:color w:val="auto"/>
          <w:highlight w:val="none"/>
          <w:lang w:eastAsia="zh-CN"/>
        </w:rPr>
        <w:t>、</w:t>
      </w:r>
      <w:r>
        <w:rPr>
          <w:rFonts w:hint="eastAsia" w:asciiTheme="majorEastAsia" w:hAnsiTheme="majorEastAsia" w:eastAsiaTheme="majorEastAsia" w:cstheme="majorEastAsia"/>
          <w:color w:val="auto"/>
          <w:highlight w:val="none"/>
        </w:rPr>
        <w:t>盐城市政府采购网公布，补充文件将作为招标文件的组成部分，并对投标人具有约束力。</w:t>
      </w:r>
    </w:p>
    <w:p w14:paraId="2319FE63">
      <w:pPr>
        <w:pStyle w:val="36"/>
        <w:keepNext/>
        <w:keepLines/>
        <w:spacing w:before="145" w:beforeAutospacing="0" w:after="145" w:afterAutospacing="0" w:line="360" w:lineRule="auto"/>
        <w:ind w:firstLine="482"/>
        <w:jc w:val="both"/>
        <w:rPr>
          <w:rFonts w:hint="eastAsia" w:asciiTheme="minorEastAsia" w:hAnsiTheme="minorEastAsia" w:eastAsiaTheme="minorEastAsia" w:cstheme="minorEastAsia"/>
          <w:color w:val="auto"/>
          <w:sz w:val="32"/>
          <w:szCs w:val="32"/>
          <w:highlight w:val="none"/>
        </w:rPr>
      </w:pPr>
      <w:bookmarkStart w:id="74" w:name="_Toc513029213"/>
      <w:bookmarkStart w:id="75" w:name="_Toc20823285"/>
      <w:bookmarkStart w:id="76" w:name="_Toc120614216"/>
      <w:bookmarkStart w:id="77" w:name="_Toc462564072"/>
      <w:bookmarkStart w:id="78" w:name="_Toc16938529"/>
      <w:r>
        <w:rPr>
          <w:rFonts w:hint="eastAsia" w:asciiTheme="minorEastAsia" w:hAnsiTheme="minorEastAsia" w:eastAsiaTheme="minorEastAsia" w:cstheme="minorEastAsia"/>
          <w:b/>
          <w:color w:val="auto"/>
          <w:sz w:val="32"/>
          <w:szCs w:val="32"/>
          <w:highlight w:val="none"/>
        </w:rPr>
        <w:t>三、投标文件的编制</w:t>
      </w:r>
      <w:bookmarkEnd w:id="74"/>
      <w:bookmarkEnd w:id="75"/>
      <w:bookmarkEnd w:id="76"/>
      <w:bookmarkEnd w:id="77"/>
      <w:bookmarkEnd w:id="78"/>
    </w:p>
    <w:p w14:paraId="7EBFD04A">
      <w:pPr>
        <w:pStyle w:val="36"/>
        <w:keepNext/>
        <w:keepLines/>
        <w:spacing w:beforeAutospacing="0" w:afterAutospacing="0" w:line="360" w:lineRule="auto"/>
        <w:ind w:firstLine="560"/>
        <w:jc w:val="both"/>
        <w:rPr>
          <w:rFonts w:hint="eastAsia" w:asciiTheme="majorEastAsia" w:hAnsiTheme="majorEastAsia" w:eastAsiaTheme="majorEastAsia" w:cstheme="majorEastAsia"/>
          <w:b/>
          <w:bCs/>
          <w:color w:val="auto"/>
          <w:highlight w:val="none"/>
        </w:rPr>
      </w:pPr>
      <w:bookmarkStart w:id="79" w:name="_Toc16938530"/>
      <w:bookmarkStart w:id="80" w:name="_Toc20823286"/>
      <w:bookmarkStart w:id="81" w:name="_Toc513029214"/>
      <w:bookmarkStart w:id="82" w:name="_Toc462564073"/>
      <w:r>
        <w:rPr>
          <w:rFonts w:hint="eastAsia" w:asciiTheme="majorEastAsia" w:hAnsiTheme="majorEastAsia" w:eastAsiaTheme="majorEastAsia" w:cstheme="majorEastAsia"/>
          <w:b/>
          <w:bCs/>
          <w:color w:val="auto"/>
          <w:sz w:val="28"/>
          <w:szCs w:val="28"/>
          <w:highlight w:val="none"/>
        </w:rPr>
        <w:t>9、投标文件的语言及度量衡单位</w:t>
      </w:r>
      <w:bookmarkEnd w:id="79"/>
      <w:bookmarkEnd w:id="80"/>
      <w:bookmarkEnd w:id="81"/>
      <w:bookmarkEnd w:id="82"/>
    </w:p>
    <w:p w14:paraId="45FB252F">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9.1投标人提交的投标文件以及投标人与采购</w:t>
      </w:r>
      <w:r>
        <w:rPr>
          <w:rFonts w:hint="eastAsia" w:asciiTheme="majorEastAsia" w:hAnsiTheme="majorEastAsia" w:eastAsiaTheme="majorEastAsia" w:cstheme="majorEastAsia"/>
          <w:color w:val="auto"/>
          <w:highlight w:val="none"/>
          <w:lang w:val="en-US" w:eastAsia="zh-CN"/>
        </w:rPr>
        <w:t>人</w:t>
      </w:r>
      <w:r>
        <w:rPr>
          <w:rFonts w:hint="eastAsia" w:asciiTheme="majorEastAsia" w:hAnsiTheme="majorEastAsia" w:eastAsiaTheme="majorEastAsia" w:cstheme="majorEastAsia"/>
          <w:color w:val="auto"/>
          <w:highlight w:val="none"/>
        </w:rPr>
        <w:t>就有关投标的所有来往通知、函件和文件均应使用</w:t>
      </w:r>
      <w:r>
        <w:rPr>
          <w:rFonts w:hint="eastAsia" w:asciiTheme="majorEastAsia" w:hAnsiTheme="majorEastAsia" w:eastAsiaTheme="majorEastAsia" w:cstheme="majorEastAsia"/>
          <w:b/>
          <w:color w:val="auto"/>
          <w:highlight w:val="none"/>
        </w:rPr>
        <w:t>简体中文</w:t>
      </w:r>
      <w:r>
        <w:rPr>
          <w:rFonts w:hint="eastAsia" w:asciiTheme="majorEastAsia" w:hAnsiTheme="majorEastAsia" w:eastAsiaTheme="majorEastAsia" w:cstheme="majorEastAsia"/>
          <w:color w:val="auto"/>
          <w:highlight w:val="none"/>
        </w:rPr>
        <w:t>。</w:t>
      </w:r>
    </w:p>
    <w:p w14:paraId="44B854C0">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9.2除技术性能另有规定外，投标文件所使用的度量衡单位，均须采用国家法定计量单位。</w:t>
      </w:r>
    </w:p>
    <w:p w14:paraId="7D077E51">
      <w:pPr>
        <w:pStyle w:val="36"/>
        <w:keepNext/>
        <w:keepLines/>
        <w:numPr>
          <w:ilvl w:val="0"/>
          <w:numId w:val="2"/>
        </w:numPr>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bookmarkStart w:id="83" w:name="_Toc513029215"/>
      <w:bookmarkStart w:id="84" w:name="_Toc462564074"/>
      <w:bookmarkStart w:id="85" w:name="_Toc20823287"/>
      <w:bookmarkStart w:id="86" w:name="_Toc16938531"/>
      <w:r>
        <w:rPr>
          <w:rFonts w:hint="eastAsia" w:asciiTheme="majorEastAsia" w:hAnsiTheme="majorEastAsia" w:eastAsiaTheme="majorEastAsia" w:cstheme="majorEastAsia"/>
          <w:b/>
          <w:bCs/>
          <w:color w:val="auto"/>
          <w:sz w:val="28"/>
          <w:szCs w:val="28"/>
          <w:highlight w:val="none"/>
        </w:rPr>
        <w:t>投标文件构成</w:t>
      </w:r>
      <w:bookmarkEnd w:id="83"/>
      <w:bookmarkEnd w:id="84"/>
      <w:bookmarkEnd w:id="85"/>
      <w:bookmarkEnd w:id="86"/>
    </w:p>
    <w:p w14:paraId="3E2A63C8">
      <w:pPr>
        <w:spacing w:line="360" w:lineRule="auto"/>
        <w:ind w:firstLine="480"/>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10.1投标人编写的投标文件应包括资格证明文件、符合性证明文件、投标分项报价表、技术要求响应及偏离表、商务要求响应及偏离表、其他证明文件、投标函、开标一览表等部分。</w:t>
      </w:r>
    </w:p>
    <w:p w14:paraId="7F5C4FB3">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10.</w:t>
      </w:r>
      <w:r>
        <w:rPr>
          <w:rFonts w:hint="eastAsia" w:asciiTheme="majorEastAsia" w:hAnsiTheme="majorEastAsia" w:eastAsiaTheme="majorEastAsia" w:cstheme="majorEastAsia"/>
          <w:color w:val="auto"/>
          <w:highlight w:val="none"/>
          <w:lang w:val="en-US" w:eastAsia="zh-CN"/>
        </w:rPr>
        <w:t>2</w:t>
      </w:r>
      <w:r>
        <w:rPr>
          <w:rFonts w:hint="eastAsia" w:asciiTheme="majorEastAsia" w:hAnsiTheme="majorEastAsia" w:eastAsiaTheme="majorEastAsia" w:cstheme="majorEastAsia"/>
          <w:color w:val="auto"/>
          <w:highlight w:val="none"/>
        </w:rPr>
        <w:t>如标书制作工具中格式和内容与</w:t>
      </w:r>
      <w:r>
        <w:rPr>
          <w:rFonts w:hint="eastAsia" w:asciiTheme="majorEastAsia" w:hAnsiTheme="majorEastAsia" w:eastAsiaTheme="majorEastAsia" w:cstheme="majorEastAsia"/>
          <w:color w:val="auto"/>
          <w:highlight w:val="none"/>
          <w:lang w:val="en-US" w:eastAsia="zh-CN"/>
        </w:rPr>
        <w:t>“中国政府采购网”、</w:t>
      </w:r>
      <w:r>
        <w:rPr>
          <w:rFonts w:hint="eastAsia" w:asciiTheme="majorEastAsia" w:hAnsiTheme="majorEastAsia" w:eastAsiaTheme="majorEastAsia" w:cstheme="majorEastAsia"/>
          <w:color w:val="auto"/>
          <w:highlight w:val="none"/>
        </w:rPr>
        <w:t>“江苏政府采购网”、“盐城市政府采购网”发布的招标文件不一致，请以</w:t>
      </w:r>
      <w:r>
        <w:rPr>
          <w:rFonts w:hint="eastAsia" w:asciiTheme="majorEastAsia" w:hAnsiTheme="majorEastAsia" w:eastAsiaTheme="majorEastAsia" w:cstheme="majorEastAsia"/>
          <w:color w:val="auto"/>
          <w:highlight w:val="none"/>
          <w:lang w:val="en-US" w:eastAsia="zh-CN"/>
        </w:rPr>
        <w:t>“中国政府采购网”、</w:t>
      </w:r>
      <w:r>
        <w:rPr>
          <w:rFonts w:hint="eastAsia" w:asciiTheme="majorEastAsia" w:hAnsiTheme="majorEastAsia" w:eastAsiaTheme="majorEastAsia" w:cstheme="majorEastAsia"/>
          <w:color w:val="auto"/>
          <w:highlight w:val="none"/>
        </w:rPr>
        <w:t>“江苏政府采购网”、“盐城市政府采购网”发布的招标文件为准。</w:t>
      </w:r>
    </w:p>
    <w:p w14:paraId="1C8FFA7A">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highlight w:val="none"/>
        </w:rPr>
      </w:pPr>
      <w:bookmarkStart w:id="87" w:name="_Toc49090509"/>
      <w:bookmarkStart w:id="88" w:name="_Toc49090507"/>
      <w:bookmarkStart w:id="89" w:name="_Toc14577354"/>
      <w:bookmarkStart w:id="90" w:name="_Toc14577357"/>
      <w:bookmarkStart w:id="91" w:name="_Toc513029216"/>
      <w:bookmarkStart w:id="92" w:name="_Toc513029219"/>
      <w:bookmarkStart w:id="93" w:name="_Hlt26670360"/>
      <w:bookmarkStart w:id="94" w:name="_Hlt26954838"/>
      <w:bookmarkStart w:id="95" w:name="_Hlt26668975"/>
      <w:r>
        <w:rPr>
          <w:rFonts w:hint="eastAsia" w:asciiTheme="majorEastAsia" w:hAnsiTheme="majorEastAsia" w:eastAsiaTheme="majorEastAsia" w:cstheme="majorEastAsia"/>
          <w:b/>
          <w:bCs/>
          <w:color w:val="auto"/>
          <w:sz w:val="28"/>
          <w:szCs w:val="28"/>
          <w:highlight w:val="none"/>
        </w:rPr>
        <w:t>11、证明投标人及投标标的符合招标文件规定的文件</w:t>
      </w:r>
      <w:bookmarkEnd w:id="87"/>
      <w:bookmarkEnd w:id="88"/>
      <w:bookmarkEnd w:id="89"/>
      <w:bookmarkEnd w:id="90"/>
      <w:bookmarkEnd w:id="91"/>
      <w:bookmarkEnd w:id="92"/>
    </w:p>
    <w:p w14:paraId="7D4558D5">
      <w:pPr>
        <w:pStyle w:val="36"/>
        <w:spacing w:beforeAutospacing="0" w:afterAutospacing="0" w:line="360" w:lineRule="auto"/>
        <w:jc w:val="both"/>
        <w:rPr>
          <w:rFonts w:hint="eastAsia" w:asciiTheme="majorEastAsia" w:hAnsiTheme="majorEastAsia" w:eastAsiaTheme="majorEastAsia" w:cstheme="majorEastAsia"/>
          <w:color w:val="auto"/>
          <w:highlight w:val="none"/>
        </w:rPr>
      </w:pPr>
      <w:bookmarkStart w:id="96" w:name="_Toc49090508"/>
      <w:bookmarkStart w:id="97" w:name="_Toc14577355"/>
      <w:r>
        <w:rPr>
          <w:rFonts w:hint="eastAsia" w:asciiTheme="majorEastAsia" w:hAnsiTheme="majorEastAsia" w:eastAsiaTheme="majorEastAsia" w:cstheme="majorEastAsia"/>
          <w:color w:val="auto"/>
          <w:highlight w:val="none"/>
        </w:rPr>
        <w:t> </w:t>
      </w:r>
      <w:r>
        <w:rPr>
          <w:rFonts w:hint="eastAsia" w:eastAsia="宋体" w:asciiTheme="majorEastAsia" w:hAnsiTheme="majorEastAsia" w:cstheme="majorEastAsia"/>
          <w:color w:val="auto"/>
          <w:highlight w:val="none"/>
          <w:lang w:val="en-US" w:eastAsia="zh-CN"/>
        </w:rPr>
        <w:t xml:space="preserve">  </w:t>
      </w:r>
      <w:r>
        <w:rPr>
          <w:rFonts w:hint="eastAsia" w:asciiTheme="majorEastAsia" w:hAnsiTheme="majorEastAsia" w:eastAsiaTheme="majorEastAsia" w:cstheme="majorEastAsia"/>
          <w:color w:val="auto"/>
          <w:highlight w:val="none"/>
        </w:rPr>
        <w:t> 11.1投标人应按照法律、法规、规章和规范性文件以及招标文件要求提交证明文件，证明其及投标标的符合招标文件规定。</w:t>
      </w:r>
      <w:bookmarkEnd w:id="96"/>
      <w:bookmarkEnd w:id="97"/>
    </w:p>
    <w:p w14:paraId="36DE528E">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11.2招标文件对证明文件无明确形式要求的，证明文件可以以文字资料、图纸和数据等形式提交。</w:t>
      </w:r>
    </w:p>
    <w:p w14:paraId="6AAA6F8D">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12、</w:t>
      </w:r>
      <w:bookmarkStart w:id="98" w:name="_Hlt26670373"/>
      <w:r>
        <w:rPr>
          <w:rFonts w:hint="eastAsia" w:asciiTheme="majorEastAsia" w:hAnsiTheme="majorEastAsia" w:eastAsiaTheme="majorEastAsia" w:cstheme="majorEastAsia"/>
          <w:b/>
          <w:bCs/>
          <w:color w:val="auto"/>
          <w:sz w:val="28"/>
          <w:szCs w:val="28"/>
          <w:highlight w:val="none"/>
        </w:rPr>
        <w:t>投标分项报价表</w:t>
      </w:r>
    </w:p>
    <w:p w14:paraId="4CFA45FF">
      <w:pPr>
        <w:pStyle w:val="36"/>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bookmarkStart w:id="99" w:name="_Hlt26954731"/>
      <w:bookmarkStart w:id="100" w:name="_Hlt26954848"/>
      <w:bookmarkStart w:id="101" w:name="_Hlt26668983"/>
      <w:bookmarkStart w:id="102" w:name="_Hlt26954842"/>
      <w:bookmarkStart w:id="103" w:name="_Hlt26670482"/>
      <w:bookmarkStart w:id="104" w:name="_Hlt26670403"/>
      <w:bookmarkStart w:id="105" w:name="_Hlt26954840"/>
      <w:bookmarkStart w:id="106" w:name="_Hlt26954846"/>
      <w:bookmarkStart w:id="107" w:name="_Hlt26670399"/>
      <w:bookmarkStart w:id="108" w:name="_Hlt26670425"/>
      <w:bookmarkStart w:id="109" w:name="_Hlt26670486"/>
      <w:bookmarkStart w:id="110" w:name="_Hlt26954844"/>
      <w:r>
        <w:rPr>
          <w:rFonts w:hint="eastAsia" w:asciiTheme="majorEastAsia" w:hAnsiTheme="majorEastAsia" w:eastAsiaTheme="majorEastAsia" w:cstheme="majorEastAsia"/>
          <w:color w:val="auto"/>
          <w:highlight w:val="none"/>
        </w:rPr>
        <w:t>12.1投标人应按照招标文件规定格式填报投标分项报价表。</w:t>
      </w:r>
    </w:p>
    <w:p w14:paraId="6F3494D9">
      <w:pPr>
        <w:pStyle w:val="36"/>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12.2投标货币。投标文件中的单价和总价无特殊规定的采用人民币报价，以元为单位标注。招标文件中另有规定的按规定执行。</w:t>
      </w:r>
    </w:p>
    <w:p w14:paraId="380D28D0">
      <w:pPr>
        <w:pStyle w:val="36"/>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12.3</w:t>
      </w:r>
      <w:r>
        <w:rPr>
          <w:rFonts w:hint="eastAsia" w:asciiTheme="majorEastAsia" w:hAnsiTheme="majorEastAsia" w:eastAsiaTheme="majorEastAsia" w:cstheme="majorEastAsia"/>
          <w:color w:val="auto"/>
          <w:highlight w:val="none"/>
        </w:rPr>
        <w:t>投标报价采用总承包方式，包括为完成招标文件、采购需求的所有内容。不仅应包括厕所保洁所需水电费、下水道疏通费、下水道化粪池清掏清杂运输费、货物价格（含货物原价、手续费、运杂费、包装费、上下装卸费、采购保管费、备品备件等）、安装费、运输费（含上下货力资费）、吸粪费、公共厕所看护费、保洁机械设备工具用具费、各种材料费、各种保险费，所有人员的工资、加班费、社保、福利费、公众责任保险费、社会保险、住房公积金、残疾人保证金、高温费、体检费、工具费、工作服费用、职工带薪休假费用、合同期满后根据劳动法解除人员的经济补偿金、劳保用品费用，投标人拟投入本项目各类设施设备的折旧费、维修费等相关费用，还应包括：管理、劳务、培训、风险、税金、合理利润、评审费、采购代理服务费、不可预见费用及政策性文件规定等所需的全部费用的价格体现，凡漏项或少计均视为优惠，招标人不另行增加费用。各类风险和政策性调整等风险已包括在投标报价中，最终结算时除合同约定调整外一律不予调整。</w:t>
      </w:r>
    </w:p>
    <w:p w14:paraId="30584CA4">
      <w:pPr>
        <w:pStyle w:val="36"/>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注：人工费：必须严格按照国家相关法律法规、江苏省及盐城市劳动用人最新规定（包含最低工资标准、法定节假日加班费和社保等）执行，公共责任险（亦称第三者险）、意外伤害险等由投标人自行决定办理。否则引起的一切矛盾、纠纷及所有费用等均由投标人自行承担，与采购人无关，采购人保留追究投标人相关法律责任的权利。</w:t>
      </w:r>
    </w:p>
    <w:p w14:paraId="1FF60296">
      <w:pPr>
        <w:pStyle w:val="36"/>
        <w:spacing w:beforeAutospacing="0" w:afterAutospacing="0" w:line="360" w:lineRule="auto"/>
        <w:ind w:firstLine="480" w:firstLineChars="2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12.4</w:t>
      </w:r>
      <w:r>
        <w:rPr>
          <w:rFonts w:hint="eastAsia" w:asciiTheme="majorEastAsia" w:hAnsiTheme="majorEastAsia" w:eastAsiaTheme="majorEastAsia" w:cstheme="majorEastAsia"/>
          <w:color w:val="auto"/>
          <w:highlight w:val="none"/>
        </w:rPr>
        <w:t>投标人报价时应充分考虑所有可能影响到报价的价格因素，一旦招标结束最终确定中标人，总价将包干，不予调整。如发生漏、缺、少项，都将被认为是中标人的报价让利行为，损失自负。</w:t>
      </w:r>
    </w:p>
    <w:p w14:paraId="3835C46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eastAsia="宋体" w:asciiTheme="majorEastAsia" w:hAnsiTheme="majorEastAsia" w:cstheme="majorEastAsia"/>
          <w:color w:val="auto"/>
          <w:highlight w:val="none"/>
          <w:lang w:val="en-US" w:eastAsia="zh-CN"/>
        </w:rPr>
        <w:t>12.5</w:t>
      </w:r>
      <w:r>
        <w:rPr>
          <w:rFonts w:hint="eastAsia" w:asciiTheme="majorEastAsia" w:hAnsiTheme="majorEastAsia" w:eastAsiaTheme="majorEastAsia" w:cstheme="majorEastAsia"/>
          <w:color w:val="auto"/>
          <w:highlight w:val="none"/>
        </w:rPr>
        <w:t xml:space="preserve"> 其它费用处理</w:t>
      </w:r>
    </w:p>
    <w:p w14:paraId="5349027C">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本次招标的招标代理服务费用由招标代理机构向中标人一次性收取。招标代理费计取方法参照苏招协【2022】002号文招标收费标准计取。此项费用含在投标报价中，并不单独立项，招标人不承担任何代理费用。</w:t>
      </w:r>
    </w:p>
    <w:p w14:paraId="4A2D2569">
      <w:pPr>
        <w:pStyle w:val="36"/>
        <w:keepNext/>
        <w:keepLines/>
        <w:spacing w:beforeAutospacing="0" w:afterAutospacing="0" w:line="360" w:lineRule="auto"/>
        <w:ind w:firstLine="420"/>
        <w:jc w:val="both"/>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sz w:val="28"/>
          <w:szCs w:val="28"/>
          <w:highlight w:val="none"/>
        </w:rPr>
        <w:t>13、技术要求响应及偏离表、商务要求响应及偏离表</w:t>
      </w:r>
    </w:p>
    <w:p w14:paraId="25EB93FE">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13.1投标人需对招标文件中的技术要求与商务要求逐项作出响应或偏离，并说明原因。</w:t>
      </w:r>
    </w:p>
    <w:p w14:paraId="5423663A">
      <w:pPr>
        <w:pStyle w:val="36"/>
        <w:tabs>
          <w:tab w:val="left" w:pos="1036"/>
        </w:tabs>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13.2投标人可在投标文件中提供认为需要的其他技术文件或说明。</w:t>
      </w:r>
    </w:p>
    <w:p w14:paraId="3ED0A11E">
      <w:pPr>
        <w:pStyle w:val="36"/>
        <w:keepNext/>
        <w:keepLines/>
        <w:spacing w:beforeAutospacing="0" w:afterAutospacing="0" w:line="360" w:lineRule="auto"/>
        <w:ind w:firstLine="420"/>
        <w:jc w:val="both"/>
        <w:rPr>
          <w:rFonts w:hint="eastAsia" w:asciiTheme="minorEastAsia" w:hAnsiTheme="minorEastAsia" w:eastAsiaTheme="minorEastAsia" w:cstheme="minorEastAsia"/>
          <w:b/>
          <w:bCs/>
          <w:color w:val="auto"/>
          <w:highlight w:val="none"/>
        </w:rPr>
      </w:pPr>
      <w:bookmarkStart w:id="111" w:name="_Toc14577359"/>
      <w:bookmarkStart w:id="112" w:name="_Toc49090510"/>
      <w:r>
        <w:rPr>
          <w:rFonts w:hint="eastAsia" w:asciiTheme="minorEastAsia" w:hAnsiTheme="minorEastAsia" w:eastAsiaTheme="minorEastAsia" w:cstheme="minorEastAsia"/>
          <w:b/>
          <w:bCs/>
          <w:color w:val="auto"/>
          <w:sz w:val="28"/>
          <w:szCs w:val="28"/>
          <w:highlight w:val="none"/>
        </w:rPr>
        <w:t>14、投标函和开标一览表</w:t>
      </w:r>
      <w:bookmarkEnd w:id="111"/>
      <w:bookmarkEnd w:id="112"/>
    </w:p>
    <w:p w14:paraId="7B49F23B">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14.1投标人应按照招标文件中提供的格式完整、正确填写投标函、开标一览表。</w:t>
      </w:r>
    </w:p>
    <w:p w14:paraId="388ACCF8">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Theme="majorEastAsia" w:hAnsiTheme="majorEastAsia" w:eastAsiaTheme="majorEastAsia" w:cstheme="majorEastAsia"/>
          <w:b/>
          <w:color w:val="auto"/>
          <w:highlight w:val="none"/>
        </w:rPr>
        <w:t>。</w:t>
      </w:r>
    </w:p>
    <w:p w14:paraId="2CA5369A">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highlight w:val="none"/>
        </w:rPr>
      </w:pPr>
      <w:bookmarkStart w:id="113" w:name="_Toc14577360"/>
      <w:bookmarkStart w:id="114" w:name="_Toc49090511"/>
      <w:bookmarkStart w:id="115" w:name="_Hlt26670489"/>
      <w:bookmarkStart w:id="116" w:name="_Hlt26954734"/>
      <w:bookmarkStart w:id="117" w:name="_Hlt26954850"/>
      <w:r>
        <w:rPr>
          <w:rFonts w:hint="eastAsia" w:asciiTheme="majorEastAsia" w:hAnsiTheme="majorEastAsia" w:eastAsiaTheme="majorEastAsia" w:cstheme="majorEastAsia"/>
          <w:b/>
          <w:bCs/>
          <w:color w:val="auto"/>
          <w:sz w:val="28"/>
          <w:szCs w:val="28"/>
          <w:highlight w:val="none"/>
        </w:rPr>
        <w:t>15、投标有效期</w:t>
      </w:r>
      <w:bookmarkEnd w:id="113"/>
      <w:bookmarkEnd w:id="114"/>
    </w:p>
    <w:p w14:paraId="48ECF6D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15.1投标有效期为采购</w:t>
      </w:r>
      <w:r>
        <w:rPr>
          <w:rFonts w:hint="eastAsia" w:asciiTheme="majorEastAsia" w:hAnsiTheme="majorEastAsia" w:eastAsiaTheme="majorEastAsia" w:cstheme="majorEastAsia"/>
          <w:color w:val="auto"/>
          <w:highlight w:val="none"/>
          <w:lang w:val="en-US" w:eastAsia="zh-CN"/>
        </w:rPr>
        <w:t>人</w:t>
      </w:r>
      <w:r>
        <w:rPr>
          <w:rFonts w:hint="eastAsia" w:asciiTheme="majorEastAsia" w:hAnsiTheme="majorEastAsia" w:eastAsiaTheme="majorEastAsia" w:cstheme="majorEastAsia"/>
          <w:color w:val="auto"/>
          <w:highlight w:val="none"/>
        </w:rPr>
        <w:t>规定的开标之日后</w:t>
      </w:r>
      <w:r>
        <w:rPr>
          <w:rFonts w:hint="eastAsia" w:asciiTheme="majorEastAsia" w:hAnsiTheme="majorEastAsia" w:eastAsiaTheme="majorEastAsia" w:cstheme="majorEastAsia"/>
          <w:b/>
          <w:color w:val="auto"/>
          <w:highlight w:val="none"/>
          <w:u w:val="single"/>
        </w:rPr>
        <w:t>六十（60）天</w:t>
      </w:r>
      <w:r>
        <w:rPr>
          <w:rFonts w:hint="eastAsia" w:asciiTheme="majorEastAsia" w:hAnsiTheme="majorEastAsia" w:eastAsiaTheme="majorEastAsia" w:cstheme="majorEastAsia"/>
          <w:color w:val="auto"/>
          <w:highlight w:val="none"/>
        </w:rPr>
        <w:t>。投标有效期比规定短的将被视为未实质性响应招标文件而予以拒绝。</w:t>
      </w:r>
    </w:p>
    <w:p w14:paraId="6042E646">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sz w:val="28"/>
          <w:szCs w:val="28"/>
          <w:highlight w:val="none"/>
        </w:rPr>
        <w:t>16、投标有效期的延长</w:t>
      </w:r>
    </w:p>
    <w:p w14:paraId="74012165">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16.1在特殊情况下，采购</w:t>
      </w:r>
      <w:r>
        <w:rPr>
          <w:rFonts w:hint="eastAsia" w:asciiTheme="majorEastAsia" w:hAnsiTheme="majorEastAsia" w:eastAsiaTheme="majorEastAsia" w:cstheme="majorEastAsia"/>
          <w:color w:val="auto"/>
          <w:highlight w:val="none"/>
          <w:lang w:val="en-US" w:eastAsia="zh-CN"/>
        </w:rPr>
        <w:t>人</w:t>
      </w:r>
      <w:r>
        <w:rPr>
          <w:rFonts w:hint="eastAsia" w:asciiTheme="majorEastAsia" w:hAnsiTheme="majorEastAsia" w:eastAsiaTheme="majorEastAsia" w:cstheme="majorEastAsia"/>
          <w:color w:val="auto"/>
          <w:highlight w:val="none"/>
        </w:rPr>
        <w:t>于原投标有效期满之前，可向投标人提出延长投标有效期的要求。这种要求与答复均应采用书面形式。投标人可以拒绝采购</w:t>
      </w:r>
      <w:r>
        <w:rPr>
          <w:rFonts w:hint="eastAsia" w:asciiTheme="majorEastAsia" w:hAnsiTheme="majorEastAsia" w:eastAsiaTheme="majorEastAsia" w:cstheme="majorEastAsia"/>
          <w:color w:val="auto"/>
          <w:highlight w:val="none"/>
          <w:lang w:val="en-US" w:eastAsia="zh-CN"/>
        </w:rPr>
        <w:t>人</w:t>
      </w:r>
      <w:r>
        <w:rPr>
          <w:rFonts w:hint="eastAsia" w:asciiTheme="majorEastAsia" w:hAnsiTheme="majorEastAsia" w:eastAsiaTheme="majorEastAsia" w:cstheme="majorEastAsia"/>
          <w:color w:val="auto"/>
          <w:highlight w:val="none"/>
        </w:rPr>
        <w:t>的这一要求而放弃投标。同意延长投标有效期的投标人既不能要求也不允许修改其投标文件，同时受投标有效期约束的所有权利与义务均延长至新的有效期。</w:t>
      </w:r>
    </w:p>
    <w:p w14:paraId="7B35132A">
      <w:pPr>
        <w:pStyle w:val="36"/>
        <w:keepNext/>
        <w:keepLines/>
        <w:pageBreakBefore w:val="0"/>
        <w:widowControl w:val="0"/>
        <w:spacing w:before="145" w:beforeAutospacing="0" w:after="145" w:afterAutospacing="0" w:line="240" w:lineRule="auto"/>
        <w:ind w:firstLine="482"/>
        <w:jc w:val="both"/>
        <w:rPr>
          <w:rFonts w:hint="eastAsia" w:asciiTheme="majorEastAsia" w:hAnsiTheme="majorEastAsia" w:eastAsiaTheme="majorEastAsia" w:cstheme="majorEastAsia"/>
          <w:color w:val="auto"/>
          <w:highlight w:val="none"/>
        </w:rPr>
      </w:pPr>
      <w:bookmarkStart w:id="118" w:name="_Toc120614217"/>
      <w:bookmarkStart w:id="119" w:name="_Toc513029224"/>
      <w:bookmarkStart w:id="120" w:name="_Toc20823296"/>
      <w:bookmarkStart w:id="121" w:name="_Toc16938540"/>
      <w:bookmarkStart w:id="122" w:name="_Hlt26954852"/>
      <w:bookmarkStart w:id="123" w:name="_Hlt26954739"/>
      <w:r>
        <w:rPr>
          <w:rFonts w:hint="eastAsia" w:asciiTheme="majorEastAsia" w:hAnsiTheme="majorEastAsia" w:eastAsiaTheme="majorEastAsia" w:cstheme="majorEastAsia"/>
          <w:b/>
          <w:color w:val="auto"/>
          <w:sz w:val="32"/>
          <w:szCs w:val="32"/>
          <w:highlight w:val="none"/>
        </w:rPr>
        <w:t>四、投标文件的递交</w:t>
      </w:r>
      <w:bookmarkEnd w:id="118"/>
      <w:bookmarkEnd w:id="119"/>
      <w:bookmarkEnd w:id="120"/>
      <w:bookmarkEnd w:id="121"/>
    </w:p>
    <w:p w14:paraId="18991B3C">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bookmarkStart w:id="124" w:name="_Toc513029225"/>
      <w:bookmarkStart w:id="125" w:name="_Toc20823297"/>
      <w:bookmarkStart w:id="126" w:name="_Toc16938541"/>
      <w:bookmarkStart w:id="127" w:name="_Toc462564084"/>
      <w:r>
        <w:rPr>
          <w:rFonts w:hint="eastAsia" w:asciiTheme="majorEastAsia" w:hAnsiTheme="majorEastAsia" w:eastAsiaTheme="majorEastAsia" w:cstheme="majorEastAsia"/>
          <w:b/>
          <w:bCs/>
          <w:color w:val="auto"/>
          <w:sz w:val="28"/>
          <w:szCs w:val="28"/>
          <w:highlight w:val="none"/>
        </w:rPr>
        <w:t>17、投标文件</w:t>
      </w:r>
      <w:bookmarkEnd w:id="124"/>
      <w:bookmarkEnd w:id="125"/>
      <w:bookmarkEnd w:id="126"/>
      <w:bookmarkEnd w:id="127"/>
      <w:r>
        <w:rPr>
          <w:rFonts w:hint="eastAsia" w:asciiTheme="majorEastAsia" w:hAnsiTheme="majorEastAsia" w:eastAsiaTheme="majorEastAsia" w:cstheme="majorEastAsia"/>
          <w:b/>
          <w:bCs/>
          <w:color w:val="auto"/>
          <w:sz w:val="28"/>
          <w:szCs w:val="28"/>
          <w:highlight w:val="none"/>
        </w:rPr>
        <w:t>的递交</w:t>
      </w:r>
    </w:p>
    <w:p w14:paraId="236DEA6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17.1 电子投标文件的递交</w:t>
      </w:r>
    </w:p>
    <w:p w14:paraId="01FA6C3A">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投标人应当按照《操作手册》规定，在投标截止时间前制作并上传电子投标文件。</w:t>
      </w:r>
      <w:bookmarkStart w:id="128" w:name="_Toc20823298"/>
      <w:bookmarkEnd w:id="128"/>
      <w:bookmarkStart w:id="129" w:name="_Toc16938542"/>
      <w:bookmarkEnd w:id="129"/>
      <w:bookmarkStart w:id="130" w:name="_Toc513029226"/>
    </w:p>
    <w:p w14:paraId="5E686915">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18、投标截止时间</w:t>
      </w:r>
    </w:p>
    <w:p w14:paraId="695FA4CB">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18.1投标人上传电子投标文件的时间不得迟于招标公告中规定的投标截止时间。</w:t>
      </w:r>
    </w:p>
    <w:p w14:paraId="54F058AC">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投标人应充分考虑到网络环境、网络带宽等风险因素，如因投标人自身原因造成的电子投标文件上传不成功的按照本招标文件第二章第26.1.2条 规定做无效投标处理。</w:t>
      </w:r>
    </w:p>
    <w:p w14:paraId="5A64B4E7">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18.2</w:t>
      </w:r>
      <w:r>
        <w:rPr>
          <w:rFonts w:hint="eastAsia" w:asciiTheme="majorEastAsia" w:hAnsiTheme="majorEastAsia" w:eastAsiaTheme="majorEastAsia" w:cstheme="majorEastAsia"/>
          <w:color w:val="auto"/>
          <w:highlight w:val="none"/>
          <w:lang w:eastAsia="zh-CN"/>
        </w:rPr>
        <w:t>代理机构</w:t>
      </w:r>
      <w:r>
        <w:rPr>
          <w:rFonts w:hint="eastAsia" w:asciiTheme="majorEastAsia" w:hAnsiTheme="majorEastAsia" w:eastAsiaTheme="majorEastAsia" w:cstheme="majorEastAsia"/>
          <w:color w:val="auto"/>
          <w:highlight w:val="none"/>
        </w:rPr>
        <w:t>可以按照规定，通过修改招标文件酌情延长投标截止时间，在此情况下，投标人的所有权利和义务以及投标人受制的截止时间均应以延长后新的截止时间为准。</w:t>
      </w:r>
    </w:p>
    <w:p w14:paraId="4C93AE25">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highlight w:val="none"/>
        </w:rPr>
      </w:pPr>
      <w:bookmarkStart w:id="131" w:name="_Toc20823299"/>
      <w:bookmarkStart w:id="132" w:name="_Toc513029227"/>
      <w:bookmarkStart w:id="133" w:name="_Toc16938543"/>
      <w:r>
        <w:rPr>
          <w:rFonts w:hint="eastAsia" w:asciiTheme="majorEastAsia" w:hAnsiTheme="majorEastAsia" w:eastAsiaTheme="majorEastAsia" w:cstheme="majorEastAsia"/>
          <w:b/>
          <w:bCs/>
          <w:color w:val="auto"/>
          <w:sz w:val="28"/>
          <w:szCs w:val="28"/>
          <w:highlight w:val="none"/>
        </w:rPr>
        <w:t>19、投标文件</w:t>
      </w:r>
      <w:bookmarkEnd w:id="131"/>
      <w:bookmarkEnd w:id="132"/>
      <w:bookmarkEnd w:id="133"/>
      <w:r>
        <w:rPr>
          <w:rFonts w:hint="eastAsia" w:asciiTheme="majorEastAsia" w:hAnsiTheme="majorEastAsia" w:eastAsiaTheme="majorEastAsia" w:cstheme="majorEastAsia"/>
          <w:b/>
          <w:bCs/>
          <w:color w:val="auto"/>
          <w:sz w:val="28"/>
          <w:szCs w:val="28"/>
          <w:highlight w:val="none"/>
        </w:rPr>
        <w:t>的拒收</w:t>
      </w:r>
    </w:p>
    <w:p w14:paraId="4270B090">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19.1</w:t>
      </w:r>
      <w:r>
        <w:rPr>
          <w:rFonts w:hint="eastAsia" w:ascii="宋体" w:hAnsi="宋体" w:eastAsia="宋体" w:cs="宋体"/>
          <w:color w:val="auto"/>
          <w:sz w:val="24"/>
          <w:szCs w:val="24"/>
          <w:highlight w:val="none"/>
        </w:rPr>
        <w:t>采购人、采购代理</w:t>
      </w:r>
      <w:r>
        <w:rPr>
          <w:rFonts w:hint="eastAsia" w:asciiTheme="majorEastAsia" w:hAnsiTheme="majorEastAsia" w:eastAsiaTheme="majorEastAsia" w:cstheme="majorEastAsia"/>
          <w:color w:val="auto"/>
          <w:highlight w:val="none"/>
        </w:rPr>
        <w:t>拒绝接收在其规定的投标截止时间后上传的任何投标文件。</w:t>
      </w:r>
    </w:p>
    <w:p w14:paraId="5E686AA4">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bookmarkStart w:id="134" w:name="_Toc513029228"/>
      <w:bookmarkStart w:id="135" w:name="_Toc16938544"/>
      <w:bookmarkStart w:id="136" w:name="_Toc20823300"/>
      <w:r>
        <w:rPr>
          <w:rFonts w:hint="eastAsia" w:asciiTheme="majorEastAsia" w:hAnsiTheme="majorEastAsia" w:eastAsiaTheme="majorEastAsia" w:cstheme="majorEastAsia"/>
          <w:b/>
          <w:bCs/>
          <w:color w:val="auto"/>
          <w:sz w:val="28"/>
          <w:szCs w:val="28"/>
          <w:highlight w:val="none"/>
        </w:rPr>
        <w:t>20、投标文件的撤回和修改</w:t>
      </w:r>
      <w:bookmarkEnd w:id="134"/>
      <w:bookmarkEnd w:id="135"/>
      <w:bookmarkEnd w:id="136"/>
    </w:p>
    <w:p w14:paraId="7BD3260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20.1投标文件的撤回</w:t>
      </w:r>
    </w:p>
    <w:p w14:paraId="669C0779">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eastAsia="宋体" w:asciiTheme="majorEastAsia" w:hAnsiTheme="majorEastAsia" w:cstheme="majorEastAsia"/>
          <w:color w:val="auto"/>
          <w:highlight w:val="none"/>
          <w:lang w:val="en-US" w:eastAsia="zh-CN"/>
        </w:rPr>
        <w:t>0</w:t>
      </w:r>
      <w:r>
        <w:rPr>
          <w:rFonts w:hint="eastAsia" w:asciiTheme="majorEastAsia" w:hAnsiTheme="majorEastAsia" w:eastAsiaTheme="majorEastAsia" w:cstheme="majorEastAsia"/>
          <w:color w:val="auto"/>
          <w:highlight w:val="none"/>
        </w:rPr>
        <w:t>.1.1电子投标文件的撤回</w:t>
      </w:r>
    </w:p>
    <w:p w14:paraId="699502E5">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投标人可在投标截止时间前，撤回其电子投标文件，具体操作方法见《操作手册》。</w:t>
      </w:r>
    </w:p>
    <w:p w14:paraId="4A117E8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eastAsia="宋体" w:asciiTheme="majorEastAsia" w:hAnsiTheme="majorEastAsia" w:cstheme="majorEastAsia"/>
          <w:color w:val="auto"/>
          <w:highlight w:val="none"/>
          <w:lang w:val="en-US" w:eastAsia="zh-CN"/>
        </w:rPr>
        <w:t>0</w:t>
      </w:r>
      <w:r>
        <w:rPr>
          <w:rFonts w:hint="eastAsia" w:asciiTheme="majorEastAsia" w:hAnsiTheme="majorEastAsia" w:eastAsiaTheme="majorEastAsia" w:cstheme="majorEastAsia"/>
          <w:color w:val="auto"/>
          <w:highlight w:val="none"/>
        </w:rPr>
        <w:t>.1.2投标人撤回电子投标文件，则认为其不再参与本项目投标活动。</w:t>
      </w:r>
    </w:p>
    <w:p w14:paraId="22A21B3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20.2 投标文件的修改</w:t>
      </w:r>
    </w:p>
    <w:p w14:paraId="46D4414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20.2.1投标人可在投标截止时间前，对其电子投标文件进行修改，具体操作方法见《操作手册》。</w:t>
      </w:r>
    </w:p>
    <w:p w14:paraId="4E55A34F">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20.2.2在投标截止时间之后，投标人不得对其电子投标文件作任何修改。</w:t>
      </w:r>
    </w:p>
    <w:p w14:paraId="4D5E516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20.3在投标截止时间至招标文件中规定的投标有效期满之间的这段时间内，投标人不得撤回其投标。</w:t>
      </w:r>
    </w:p>
    <w:p w14:paraId="5244D1DC">
      <w:pPr>
        <w:pStyle w:val="36"/>
        <w:keepNext/>
        <w:keepLines/>
        <w:spacing w:before="145" w:beforeAutospacing="0" w:after="145" w:afterAutospacing="0" w:line="360" w:lineRule="auto"/>
        <w:ind w:firstLine="482"/>
        <w:jc w:val="both"/>
        <w:rPr>
          <w:rFonts w:hint="eastAsia" w:asciiTheme="majorEastAsia" w:hAnsiTheme="majorEastAsia" w:eastAsiaTheme="majorEastAsia" w:cstheme="majorEastAsia"/>
          <w:color w:val="auto"/>
          <w:highlight w:val="none"/>
        </w:rPr>
      </w:pPr>
      <w:bookmarkStart w:id="137" w:name="_Toc120614218"/>
      <w:bookmarkStart w:id="138" w:name="_Toc513029229"/>
      <w:bookmarkStart w:id="139" w:name="_Toc20823301"/>
      <w:bookmarkStart w:id="140" w:name="_Toc16938545"/>
      <w:r>
        <w:rPr>
          <w:rFonts w:hint="eastAsia" w:asciiTheme="majorEastAsia" w:hAnsiTheme="majorEastAsia" w:eastAsiaTheme="majorEastAsia" w:cstheme="majorEastAsia"/>
          <w:b/>
          <w:color w:val="auto"/>
          <w:sz w:val="32"/>
          <w:szCs w:val="32"/>
          <w:highlight w:val="none"/>
        </w:rPr>
        <w:t>五、开标与评标</w:t>
      </w:r>
      <w:bookmarkEnd w:id="137"/>
      <w:bookmarkEnd w:id="138"/>
      <w:bookmarkEnd w:id="139"/>
      <w:bookmarkEnd w:id="140"/>
    </w:p>
    <w:p w14:paraId="60D2F108">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bookmarkStart w:id="141" w:name="_Toc20823302"/>
      <w:bookmarkStart w:id="142" w:name="_Toc16938546"/>
      <w:bookmarkStart w:id="143" w:name="_Toc513029230"/>
      <w:r>
        <w:rPr>
          <w:rFonts w:hint="eastAsia" w:asciiTheme="majorEastAsia" w:hAnsiTheme="majorEastAsia" w:eastAsiaTheme="majorEastAsia" w:cstheme="majorEastAsia"/>
          <w:b/>
          <w:bCs/>
          <w:color w:val="auto"/>
          <w:sz w:val="28"/>
          <w:szCs w:val="28"/>
          <w:highlight w:val="none"/>
        </w:rPr>
        <w:t>21、开标</w:t>
      </w:r>
      <w:bookmarkEnd w:id="141"/>
      <w:bookmarkEnd w:id="142"/>
      <w:bookmarkEnd w:id="143"/>
    </w:p>
    <w:p w14:paraId="61670FB8">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21.1</w:t>
      </w:r>
      <w:r>
        <w:rPr>
          <w:rFonts w:hint="eastAsia" w:asciiTheme="majorEastAsia" w:hAnsiTheme="majorEastAsia" w:eastAsiaTheme="majorEastAsia" w:cstheme="majorEastAsia"/>
          <w:color w:val="auto"/>
          <w:highlight w:val="none"/>
          <w:lang w:eastAsia="zh-CN"/>
        </w:rPr>
        <w:t>代理机构</w:t>
      </w:r>
      <w:r>
        <w:rPr>
          <w:rFonts w:hint="eastAsia" w:asciiTheme="majorEastAsia" w:hAnsiTheme="majorEastAsia" w:eastAsiaTheme="majorEastAsia" w:cstheme="majorEastAsia"/>
          <w:color w:val="auto"/>
          <w:highlight w:val="none"/>
        </w:rPr>
        <w:t>将在招标公告中规定的时间和地点组织公开开标。投标人应当按照《操作手册》规定，参加开标活动和在苏采云系统规定的时间内对投标文件进行解密。</w:t>
      </w:r>
    </w:p>
    <w:p w14:paraId="4AEFADCB">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21.2开标仪式由</w:t>
      </w:r>
      <w:r>
        <w:rPr>
          <w:rFonts w:hint="eastAsia" w:asciiTheme="majorEastAsia" w:hAnsiTheme="majorEastAsia" w:eastAsiaTheme="majorEastAsia" w:cstheme="majorEastAsia"/>
          <w:color w:val="auto"/>
          <w:highlight w:val="none"/>
          <w:lang w:eastAsia="zh-CN"/>
        </w:rPr>
        <w:t>代理机构</w:t>
      </w:r>
      <w:r>
        <w:rPr>
          <w:rFonts w:hint="eastAsia" w:asciiTheme="majorEastAsia" w:hAnsiTheme="majorEastAsia" w:eastAsiaTheme="majorEastAsia" w:cstheme="majorEastAsia"/>
          <w:color w:val="auto"/>
          <w:highlight w:val="none"/>
        </w:rPr>
        <w:t>组织。苏采云系统将自动对项目进行开标，并宣布各投标人名称和投标价格。</w:t>
      </w:r>
    </w:p>
    <w:p w14:paraId="3917DE4F">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21.3投标人在开标过程中涉及到的投标文件解密、开标结果确认等工作，应按照《操作手册》规定执行。</w:t>
      </w:r>
    </w:p>
    <w:p w14:paraId="479C13B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21.4投标人如果对开标过程和开标记录有疑义，应当根据《操作手册》规定提出，如苏采云系统中《开标记录表》宣布后5分钟内未提出的，视同认可开标结果。</w:t>
      </w:r>
    </w:p>
    <w:p w14:paraId="0DD81B93">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bookmarkStart w:id="144" w:name="_Toc20823303"/>
      <w:bookmarkStart w:id="145" w:name="_Toc513029231"/>
      <w:bookmarkStart w:id="146" w:name="_Toc16938547"/>
      <w:r>
        <w:rPr>
          <w:rFonts w:hint="eastAsia" w:asciiTheme="majorEastAsia" w:hAnsiTheme="majorEastAsia" w:eastAsiaTheme="majorEastAsia" w:cstheme="majorEastAsia"/>
          <w:b/>
          <w:bCs/>
          <w:color w:val="auto"/>
          <w:sz w:val="28"/>
          <w:szCs w:val="28"/>
          <w:highlight w:val="none"/>
        </w:rPr>
        <w:t>22、评标委员会</w:t>
      </w:r>
      <w:bookmarkEnd w:id="144"/>
      <w:bookmarkEnd w:id="145"/>
      <w:bookmarkEnd w:id="146"/>
    </w:p>
    <w:p w14:paraId="29731EE5">
      <w:pPr>
        <w:pStyle w:val="36"/>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 xml:space="preserve">  </w:t>
      </w:r>
      <w:r>
        <w:rPr>
          <w:rFonts w:hint="eastAsia" w:asciiTheme="majorEastAsia" w:hAnsiTheme="majorEastAsia" w:eastAsiaTheme="majorEastAsia" w:cstheme="majorEastAsia"/>
          <w:color w:val="auto"/>
          <w:highlight w:val="none"/>
        </w:rPr>
        <w:t>22.1开标后，</w:t>
      </w:r>
      <w:r>
        <w:rPr>
          <w:rFonts w:hint="eastAsia" w:asciiTheme="majorEastAsia" w:hAnsiTheme="majorEastAsia" w:eastAsiaTheme="majorEastAsia" w:cstheme="majorEastAsia"/>
          <w:color w:val="auto"/>
          <w:highlight w:val="none"/>
          <w:lang w:eastAsia="zh-CN"/>
        </w:rPr>
        <w:t>代理机构</w:t>
      </w:r>
      <w:r>
        <w:rPr>
          <w:rFonts w:hint="eastAsia" w:asciiTheme="majorEastAsia" w:hAnsiTheme="majorEastAsia" w:eastAsiaTheme="majorEastAsia" w:cstheme="majorEastAsia"/>
          <w:color w:val="auto"/>
          <w:highlight w:val="none"/>
        </w:rPr>
        <w:t>将立即组织评标委员会（以下简称评委会）进行评标。</w:t>
      </w:r>
    </w:p>
    <w:p w14:paraId="431ECDEA">
      <w:pPr>
        <w:pStyle w:val="36"/>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 xml:space="preserve">  </w:t>
      </w:r>
      <w:r>
        <w:rPr>
          <w:rFonts w:hint="eastAsia" w:asciiTheme="majorEastAsia" w:hAnsiTheme="majorEastAsia" w:eastAsiaTheme="majorEastAsia" w:cstheme="majorEastAsia"/>
          <w:color w:val="auto"/>
          <w:highlight w:val="none"/>
        </w:rPr>
        <w:t>22.2评委会由采购人代表和有关技术、经济等方面的专家组成，且人员构成符合政府采购有关规定。</w:t>
      </w:r>
    </w:p>
    <w:p w14:paraId="01DA8876">
      <w:pPr>
        <w:pStyle w:val="36"/>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 xml:space="preserve">  </w:t>
      </w:r>
      <w:r>
        <w:rPr>
          <w:rFonts w:hint="eastAsia" w:asciiTheme="majorEastAsia" w:hAnsiTheme="majorEastAsia" w:eastAsiaTheme="majorEastAsia" w:cstheme="majorEastAsia"/>
          <w:color w:val="auto"/>
          <w:highlight w:val="none"/>
        </w:rPr>
        <w:t>22.3评委会独立工作，负责评审所有投标文件并确定中标侯选人。</w:t>
      </w:r>
    </w:p>
    <w:p w14:paraId="38461ACB">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23、评标过程的保密与公正</w:t>
      </w:r>
    </w:p>
    <w:p w14:paraId="5F1D60C7">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23.1凡是与审查、澄清、评价和比较投标的有关资料以及授标建议等，采购人、评委、</w:t>
      </w:r>
      <w:r>
        <w:rPr>
          <w:rFonts w:hint="eastAsia" w:asciiTheme="majorEastAsia" w:hAnsiTheme="majorEastAsia" w:eastAsiaTheme="majorEastAsia" w:cstheme="majorEastAsia"/>
          <w:color w:val="auto"/>
          <w:highlight w:val="none"/>
          <w:lang w:eastAsia="zh-CN"/>
        </w:rPr>
        <w:t>代理机构</w:t>
      </w:r>
      <w:r>
        <w:rPr>
          <w:rFonts w:hint="eastAsia" w:asciiTheme="majorEastAsia" w:hAnsiTheme="majorEastAsia" w:eastAsiaTheme="majorEastAsia" w:cstheme="majorEastAsia"/>
          <w:color w:val="auto"/>
          <w:highlight w:val="none"/>
        </w:rPr>
        <w:t>均不得向投标人或与评标无关的其他人员透露。</w:t>
      </w:r>
    </w:p>
    <w:p w14:paraId="2EB88E61">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23.2在评标过程中，投标人不得以任何行为影响评标过程，否则其投标文件将被作为无效投标文件。</w:t>
      </w:r>
    </w:p>
    <w:p w14:paraId="5E9BE635">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23.3</w:t>
      </w:r>
      <w:r>
        <w:rPr>
          <w:rFonts w:hint="eastAsia" w:asciiTheme="majorEastAsia" w:hAnsiTheme="majorEastAsia" w:eastAsiaTheme="majorEastAsia" w:cstheme="majorEastAsia"/>
          <w:color w:val="auto"/>
          <w:highlight w:val="none"/>
          <w:lang w:val="en-US" w:eastAsia="zh-CN"/>
        </w:rPr>
        <w:t>代理机构</w:t>
      </w:r>
      <w:r>
        <w:rPr>
          <w:rFonts w:hint="eastAsia" w:asciiTheme="majorEastAsia" w:hAnsiTheme="majorEastAsia" w:eastAsiaTheme="majorEastAsia" w:cstheme="majorEastAsia"/>
          <w:color w:val="auto"/>
          <w:highlight w:val="none"/>
        </w:rPr>
        <w:t>和评标委员会不向未中标的投标人解释未中标原因，也不公布评标过程中的相关细节。</w:t>
      </w:r>
    </w:p>
    <w:p w14:paraId="37268901">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23.4采用综合评分法的项目，未中标的投标人可于中标结果公告期限届满之日起通过苏采云系统查看自己的评审得分及排序情况。</w:t>
      </w:r>
    </w:p>
    <w:p w14:paraId="0EBADCFA">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bookmarkStart w:id="147" w:name="_Toc20823304"/>
      <w:bookmarkStart w:id="148" w:name="_Toc513029232"/>
      <w:bookmarkStart w:id="149" w:name="_Toc16938548"/>
      <w:r>
        <w:rPr>
          <w:rFonts w:hint="eastAsia" w:asciiTheme="majorEastAsia" w:hAnsiTheme="majorEastAsia" w:eastAsiaTheme="majorEastAsia" w:cstheme="majorEastAsia"/>
          <w:b/>
          <w:bCs/>
          <w:color w:val="auto"/>
          <w:sz w:val="28"/>
          <w:szCs w:val="28"/>
          <w:highlight w:val="none"/>
        </w:rPr>
        <w:t>24、投标文件的澄清</w:t>
      </w:r>
      <w:bookmarkEnd w:id="147"/>
      <w:bookmarkEnd w:id="148"/>
      <w:bookmarkEnd w:id="149"/>
    </w:p>
    <w:p w14:paraId="58944487">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24.1评标期间，评委会对投标文件中含义不明确、同类问题表述不一致或者有明显文字和计算错误的内容，有权要求投标人作出必要的澄清、说明或者补正。</w:t>
      </w:r>
    </w:p>
    <w:p w14:paraId="4B9EF510">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投标人的澄清、说明或者补正不得超出投标文件的范围或者改变投标文件的实质性内容。</w:t>
      </w:r>
    </w:p>
    <w:p w14:paraId="35C0510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评标委员会并非对每个投标人都做澄清要求。</w:t>
      </w:r>
    </w:p>
    <w:p w14:paraId="1603E54B">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C546655">
      <w:pPr>
        <w:pStyle w:val="36"/>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24.3接到评委会澄清、说明和补正要求的投标人如未按规定做出澄清、说明和补正，其风险由投标人自行承担。</w:t>
      </w:r>
    </w:p>
    <w:p w14:paraId="0A886D92">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bookmarkStart w:id="150" w:name="_Toc513029233"/>
      <w:bookmarkStart w:id="151" w:name="_Toc20823305"/>
      <w:bookmarkStart w:id="152" w:name="_Toc16938549"/>
      <w:r>
        <w:rPr>
          <w:rFonts w:hint="eastAsia" w:asciiTheme="majorEastAsia" w:hAnsiTheme="majorEastAsia" w:eastAsiaTheme="majorEastAsia" w:cstheme="majorEastAsia"/>
          <w:b/>
          <w:bCs/>
          <w:color w:val="auto"/>
          <w:sz w:val="28"/>
          <w:szCs w:val="28"/>
          <w:highlight w:val="none"/>
        </w:rPr>
        <w:t>25、对投标文件的初审</w:t>
      </w:r>
      <w:bookmarkEnd w:id="150"/>
      <w:bookmarkEnd w:id="151"/>
      <w:bookmarkEnd w:id="152"/>
    </w:p>
    <w:p w14:paraId="5CCC8B33">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25.1投标文件初审分为资格审查和符合性审查。</w:t>
      </w:r>
    </w:p>
    <w:p w14:paraId="09F1A09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25.1.1资格审查：依据法律法规和招标文件的规定，由采购人对投标文件中的资格证明文件进行审查。资格审查的结论，采购人以书面形式向评委会进行反馈。</w:t>
      </w:r>
    </w:p>
    <w:p w14:paraId="23DC191E">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采购人在进行资格性审查的同时，将在“信用中国”网站（www.creditchina.gov.cn）查询投标人的信用记录，以确定投标人是否具备投标资格,查询结果留存并归档。</w:t>
      </w:r>
    </w:p>
    <w:p w14:paraId="4E4C382C">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6AE0ADBA">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25.1.2符合性审查：依据招标文件的规定，由评委会从投标文件的有效性、完整性和对招标文件的响应程度进行审查，以确定是否对招标文件的实质性要求作出响应。</w:t>
      </w:r>
    </w:p>
    <w:p w14:paraId="40434D1E">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25.1.3未通过资格审查或符合性审查的投标人，</w:t>
      </w:r>
      <w:r>
        <w:rPr>
          <w:rFonts w:hint="eastAsia" w:asciiTheme="majorEastAsia" w:hAnsiTheme="majorEastAsia" w:eastAsiaTheme="majorEastAsia" w:cstheme="majorEastAsia"/>
          <w:color w:val="auto"/>
          <w:highlight w:val="none"/>
          <w:lang w:val="en-US" w:eastAsia="zh-CN"/>
        </w:rPr>
        <w:t>代理机构</w:t>
      </w:r>
      <w:r>
        <w:rPr>
          <w:rFonts w:hint="eastAsia" w:asciiTheme="majorEastAsia" w:hAnsiTheme="majorEastAsia" w:eastAsiaTheme="majorEastAsia" w:cstheme="majorEastAsia"/>
          <w:color w:val="auto"/>
          <w:highlight w:val="none"/>
        </w:rPr>
        <w:t>将在苏采云系统中告知未通过资格审查或符合性审查的原因，评标结束后，</w:t>
      </w:r>
      <w:r>
        <w:rPr>
          <w:rFonts w:hint="eastAsia" w:asciiTheme="majorEastAsia" w:hAnsiTheme="majorEastAsia" w:eastAsiaTheme="majorEastAsia" w:cstheme="majorEastAsia"/>
          <w:color w:val="auto"/>
          <w:highlight w:val="none"/>
          <w:lang w:val="en-US" w:eastAsia="zh-CN"/>
        </w:rPr>
        <w:t>代理机构</w:t>
      </w:r>
      <w:r>
        <w:rPr>
          <w:rFonts w:hint="eastAsia" w:asciiTheme="majorEastAsia" w:hAnsiTheme="majorEastAsia" w:eastAsiaTheme="majorEastAsia" w:cstheme="majorEastAsia"/>
          <w:color w:val="auto"/>
          <w:highlight w:val="none"/>
        </w:rPr>
        <w:t>将不再告知未通过资格审查和符合性审查的原因。</w:t>
      </w:r>
    </w:p>
    <w:p w14:paraId="12D831A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2E2E0578">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所谓重大偏离或保留是指与招标文件规定的实质性要求存在负偏离，或者在实质上与招标文件不一致，而且限制了合同中买方和</w:t>
      </w:r>
      <w:r>
        <w:rPr>
          <w:rFonts w:hint="eastAsia" w:asciiTheme="majorEastAsia" w:hAnsiTheme="majorEastAsia" w:eastAsiaTheme="majorEastAsia" w:cstheme="majorEastAsia"/>
          <w:color w:val="auto"/>
          <w:highlight w:val="none"/>
          <w:lang w:val="en-US" w:eastAsia="zh-CN"/>
        </w:rPr>
        <w:t>代理机构</w:t>
      </w:r>
      <w:r>
        <w:rPr>
          <w:rFonts w:hint="eastAsia" w:asciiTheme="majorEastAsia" w:hAnsiTheme="majorEastAsia" w:eastAsiaTheme="majorEastAsia" w:cstheme="majorEastAsia"/>
          <w:color w:val="auto"/>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D6ACDF9">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25.3如果投标文件实质上没有响应招标文件的要求，评委会将予以拒绝，投标人不得通过修改或撤销不合要求的偏离或保留而使其投标成为实质性响应的投标。</w:t>
      </w:r>
    </w:p>
    <w:p w14:paraId="46B79C6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25.4评委会将对确定为实质性响应的投标进行进一步审核，确定其是否有计算上或累加上的算术错误，修正错误的原则如下：</w:t>
      </w:r>
    </w:p>
    <w:p w14:paraId="1580AA5B">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（1）投标文件中开标一览表内容与投标文件中相应内容不一致的，以开标一览表为准。</w:t>
      </w:r>
    </w:p>
    <w:p w14:paraId="240F5210">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（2）大写金额和小写金额不一致的，以大写金额为准。</w:t>
      </w:r>
    </w:p>
    <w:p w14:paraId="493D4A8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（3）单价金额小数点或者百分比有明显错位的，以开标一览表的总价为准，并修改单价。</w:t>
      </w:r>
    </w:p>
    <w:p w14:paraId="6FE8857E">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（4）总价金额与按单价汇总金额不一致的，以单价金额计算结果为准。</w:t>
      </w:r>
    </w:p>
    <w:p w14:paraId="3876B28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同时出现两种以上错误的，按照前款规定的顺序修正。</w:t>
      </w:r>
    </w:p>
    <w:p w14:paraId="2AE8EFEB">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7D7572F9">
      <w:pPr>
        <w:pStyle w:val="36"/>
        <w:spacing w:beforeAutospacing="0" w:afterAutospacing="0" w:line="360" w:lineRule="auto"/>
        <w:ind w:firstLine="420"/>
        <w:jc w:val="both"/>
        <w:rPr>
          <w:rFonts w:hint="eastAsia" w:asciiTheme="majorEastAsia" w:hAnsiTheme="majorEastAsia" w:eastAsiaTheme="majorEastAsia" w:cstheme="majorEastAsia"/>
          <w:color w:val="auto"/>
          <w:highlight w:val="none"/>
        </w:rPr>
      </w:pPr>
      <w:bookmarkStart w:id="153" w:name="_Toc16938550"/>
      <w:bookmarkStart w:id="154" w:name="_Toc513029234"/>
      <w:bookmarkStart w:id="155" w:name="_Toc20823306"/>
      <w:r>
        <w:rPr>
          <w:rFonts w:hint="eastAsia" w:asciiTheme="majorEastAsia" w:hAnsiTheme="majorEastAsia" w:eastAsiaTheme="majorEastAsia" w:cstheme="majorEastAsia"/>
          <w:color w:val="auto"/>
          <w:highlight w:val="none"/>
        </w:rPr>
        <w:t>25.6投标人在开、评标全过程中应保持通讯畅通，及时登录苏采云系统查阅、答复相关信息，并安排专人与</w:t>
      </w:r>
      <w:r>
        <w:rPr>
          <w:rFonts w:hint="eastAsia" w:asciiTheme="majorEastAsia" w:hAnsiTheme="majorEastAsia" w:eastAsiaTheme="majorEastAsia" w:cstheme="majorEastAsia"/>
          <w:color w:val="auto"/>
          <w:highlight w:val="none"/>
          <w:lang w:eastAsia="zh-CN"/>
        </w:rPr>
        <w:t>采购人</w:t>
      </w:r>
      <w:r>
        <w:rPr>
          <w:rFonts w:hint="eastAsia" w:asciiTheme="majorEastAsia" w:hAnsiTheme="majorEastAsia" w:eastAsiaTheme="majorEastAsia" w:cstheme="majorEastAsia"/>
          <w:color w:val="auto"/>
          <w:highlight w:val="none"/>
        </w:rPr>
        <w:t>及评标委员会联系。</w:t>
      </w:r>
      <w:bookmarkEnd w:id="153"/>
      <w:bookmarkEnd w:id="154"/>
      <w:bookmarkEnd w:id="155"/>
    </w:p>
    <w:p w14:paraId="612C2958">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26、无效投标条款和废标条款</w:t>
      </w:r>
    </w:p>
    <w:p w14:paraId="1828D32E">
      <w:pPr>
        <w:pStyle w:val="36"/>
        <w:spacing w:beforeAutospacing="0" w:afterAutospacing="0" w:line="360" w:lineRule="auto"/>
        <w:ind w:left="479"/>
        <w:jc w:val="both"/>
        <w:rPr>
          <w:rFonts w:hint="eastAsia" w:asciiTheme="majorEastAsia" w:hAnsiTheme="majorEastAsia" w:eastAsiaTheme="majorEastAsia" w:cstheme="majorEastAsia"/>
          <w:color w:val="auto"/>
          <w:highlight w:val="none"/>
        </w:rPr>
      </w:pPr>
      <w:bookmarkStart w:id="156" w:name="_Toc20823307"/>
      <w:bookmarkStart w:id="157" w:name="_Toc16938551"/>
      <w:bookmarkStart w:id="158" w:name="_Toc513029235"/>
      <w:r>
        <w:rPr>
          <w:rFonts w:hint="eastAsia" w:asciiTheme="majorEastAsia" w:hAnsiTheme="majorEastAsia" w:eastAsiaTheme="majorEastAsia" w:cstheme="majorEastAsia"/>
          <w:color w:val="auto"/>
          <w:highlight w:val="none"/>
        </w:rPr>
        <w:t>26.1无效投标条款</w:t>
      </w:r>
      <w:bookmarkEnd w:id="156"/>
      <w:bookmarkEnd w:id="157"/>
      <w:bookmarkEnd w:id="158"/>
    </w:p>
    <w:p w14:paraId="401827B8">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26.1.1投标人在苏采云系统规定的时间内未成功解密电子投标文件的。</w:t>
      </w:r>
    </w:p>
    <w:p w14:paraId="4DE8572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26.1.2投标人未按照招标文件要求上传电子投标文件的。</w:t>
      </w:r>
    </w:p>
    <w:p w14:paraId="5C6AC598">
      <w:pPr>
        <w:pStyle w:val="36"/>
        <w:spacing w:beforeAutospacing="0" w:afterAutospacing="0" w:line="360" w:lineRule="auto"/>
        <w:ind w:left="479"/>
        <w:jc w:val="both"/>
        <w:rPr>
          <w:rFonts w:hint="eastAsia"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rPr>
        <w:t>26.1.3同一投标人提交两个（含两个）以上不同的投标报价的</w:t>
      </w:r>
      <w:r>
        <w:rPr>
          <w:rFonts w:hint="eastAsia" w:asciiTheme="majorEastAsia" w:hAnsiTheme="majorEastAsia" w:eastAsiaTheme="majorEastAsia" w:cstheme="majorEastAsia"/>
          <w:color w:val="auto"/>
          <w:highlight w:val="none"/>
          <w:lang w:eastAsia="zh-CN"/>
        </w:rPr>
        <w:t>。</w:t>
      </w:r>
    </w:p>
    <w:p w14:paraId="53008FAD">
      <w:pPr>
        <w:pStyle w:val="36"/>
        <w:spacing w:beforeAutospacing="0" w:afterAutospacing="0" w:line="360" w:lineRule="auto"/>
        <w:ind w:left="479"/>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26.1.4投标人不具备招标文件中规定资格要求的。</w:t>
      </w:r>
    </w:p>
    <w:p w14:paraId="532CDF2E">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26.1.5投标人的报价超过了采购预算或最高限价的。</w:t>
      </w:r>
    </w:p>
    <w:p w14:paraId="6CC95AF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26.1.6未通过符合性审查的。</w:t>
      </w:r>
    </w:p>
    <w:p w14:paraId="27D3D2E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rPr>
        <w:t>26.1.7不符合招标文件中规定的实质性要求和条件的</w:t>
      </w:r>
      <w:r>
        <w:rPr>
          <w:rFonts w:hint="eastAsia" w:asciiTheme="majorEastAsia" w:hAnsiTheme="majorEastAsia" w:eastAsiaTheme="majorEastAsia" w:cstheme="majorEastAsia"/>
          <w:color w:val="auto"/>
          <w:highlight w:val="none"/>
          <w:lang w:eastAsia="zh-CN"/>
        </w:rPr>
        <w:t>。</w:t>
      </w:r>
    </w:p>
    <w:p w14:paraId="4F6A8951">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532B40B">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26.1.9投标文件含有采购人不能接受的附加条件的。</w:t>
      </w:r>
    </w:p>
    <w:p w14:paraId="4B168A5C">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26.1.10投标人不能证明其报价合理性的，评</w:t>
      </w:r>
      <w:r>
        <w:rPr>
          <w:rFonts w:hint="eastAsia" w:asciiTheme="majorEastAsia" w:hAnsiTheme="majorEastAsia" w:eastAsiaTheme="majorEastAsia" w:cstheme="majorEastAsia"/>
          <w:color w:val="auto"/>
          <w:highlight w:val="none"/>
          <w:lang w:val="en-US" w:eastAsia="zh-CN"/>
        </w:rPr>
        <w:t>标</w:t>
      </w:r>
      <w:r>
        <w:rPr>
          <w:rFonts w:hint="eastAsia" w:asciiTheme="majorEastAsia" w:hAnsiTheme="majorEastAsia" w:eastAsiaTheme="majorEastAsia" w:cstheme="majorEastAsia"/>
          <w:color w:val="auto"/>
          <w:highlight w:val="none"/>
        </w:rPr>
        <w:t>委员会应当将其作为无效投标处理。</w:t>
      </w:r>
    </w:p>
    <w:p w14:paraId="0402B7C1">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26.1.10.1评审过程中出现下列情形之一的，评标委员会应当启动异常低价投标审查程序：</w:t>
      </w:r>
    </w:p>
    <w:p w14:paraId="4718C5EF">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1.投标报价低于采购项目预算50% 的，即投标报价&lt;采购项目预算×50%；</w:t>
      </w:r>
    </w:p>
    <w:p w14:paraId="4DCCCE3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2.投标报价低于采购项目最高限价45% 的，即投标报价&lt;采购项目最高限价×45%；</w:t>
      </w:r>
    </w:p>
    <w:p w14:paraId="19F68627">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3.评标委员会认定的供应商报价过低、有可能影响产品质量或者不能诚信履约的其他情形。</w:t>
      </w:r>
    </w:p>
    <w:p w14:paraId="1EFA831F">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26.1.10.2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7E209F7E">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26.1.11投标文件未按照招标文件要求加盖CA电子公章的。</w:t>
      </w:r>
    </w:p>
    <w:p w14:paraId="09112E1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26.1.12其他法律、法规及本招标文件规定的属无效投标的情形。</w:t>
      </w:r>
    </w:p>
    <w:p w14:paraId="0E949488">
      <w:pPr>
        <w:pStyle w:val="36"/>
        <w:spacing w:beforeAutospacing="0" w:afterAutospacing="0" w:line="360" w:lineRule="auto"/>
        <w:ind w:left="479"/>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26.2废标条款</w:t>
      </w:r>
    </w:p>
    <w:p w14:paraId="5F306EEA">
      <w:pPr>
        <w:pStyle w:val="36"/>
        <w:spacing w:beforeAutospacing="0" w:afterAutospacing="0" w:line="360" w:lineRule="auto"/>
        <w:ind w:left="479"/>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26.2.1符合专业条件的供应商或者对招标文件作实质响应的供应商不足三家的。</w:t>
      </w:r>
    </w:p>
    <w:p w14:paraId="400E24B7">
      <w:pPr>
        <w:pStyle w:val="36"/>
        <w:spacing w:beforeAutospacing="0" w:afterAutospacing="0" w:line="360" w:lineRule="auto"/>
        <w:ind w:left="479"/>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26.2.2出现影响采购公正的违法、违规行为的。</w:t>
      </w:r>
    </w:p>
    <w:p w14:paraId="15A2F4B2">
      <w:pPr>
        <w:pStyle w:val="36"/>
        <w:spacing w:beforeAutospacing="0" w:afterAutospacing="0" w:line="360" w:lineRule="auto"/>
        <w:ind w:left="479"/>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26.2.3因重大变故，采购任务取消的。</w:t>
      </w:r>
    </w:p>
    <w:p w14:paraId="26312DFB">
      <w:pPr>
        <w:pStyle w:val="36"/>
        <w:spacing w:beforeAutospacing="0" w:afterAutospacing="0" w:line="360" w:lineRule="auto"/>
        <w:ind w:left="479"/>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26.2.4评标委员会认定招标文件存在歧义、重大缺陷导致评审工作无法进行。</w:t>
      </w:r>
    </w:p>
    <w:p w14:paraId="04EF4674">
      <w:pPr>
        <w:pStyle w:val="36"/>
        <w:spacing w:beforeAutospacing="0" w:afterAutospacing="0" w:line="360" w:lineRule="auto"/>
        <w:ind w:left="479"/>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26.2.5因苏采云系统系统故障原因造成开标不成功的。</w:t>
      </w:r>
    </w:p>
    <w:p w14:paraId="1CF9010B">
      <w:pPr>
        <w:pStyle w:val="36"/>
        <w:spacing w:beforeAutospacing="0" w:afterAutospacing="0" w:line="360" w:lineRule="auto"/>
        <w:ind w:left="479"/>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26.3 投标截止时间结束后参加投标的供应商不足三家的处理：</w:t>
      </w:r>
    </w:p>
    <w:p w14:paraId="07605D8A">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26.3.1如出现投标截止时间结束后参加投标的供应商或者在评标期间对招标文件做出实质响应的供应商不足三家情况，按政府采购相关规定执行。</w:t>
      </w:r>
    </w:p>
    <w:p w14:paraId="620826E6">
      <w:pPr>
        <w:pStyle w:val="36"/>
        <w:keepNext/>
        <w:keepLines/>
        <w:spacing w:before="145" w:beforeAutospacing="0" w:after="145" w:afterAutospacing="0" w:line="360" w:lineRule="auto"/>
        <w:ind w:firstLine="482"/>
        <w:jc w:val="both"/>
        <w:rPr>
          <w:rFonts w:hint="eastAsia" w:asciiTheme="majorEastAsia" w:hAnsiTheme="majorEastAsia" w:eastAsiaTheme="majorEastAsia" w:cstheme="majorEastAsia"/>
          <w:color w:val="auto"/>
          <w:highlight w:val="none"/>
        </w:rPr>
      </w:pPr>
      <w:bookmarkStart w:id="159" w:name="_Toc120614219"/>
      <w:r>
        <w:rPr>
          <w:rFonts w:hint="eastAsia" w:asciiTheme="majorEastAsia" w:hAnsiTheme="majorEastAsia" w:eastAsiaTheme="majorEastAsia" w:cstheme="majorEastAsia"/>
          <w:b/>
          <w:color w:val="auto"/>
          <w:sz w:val="32"/>
          <w:szCs w:val="32"/>
          <w:highlight w:val="none"/>
        </w:rPr>
        <w:t>六、定标</w:t>
      </w:r>
      <w:bookmarkEnd w:id="159"/>
    </w:p>
    <w:p w14:paraId="14679179">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bookmarkStart w:id="160" w:name="_Toc20823310"/>
      <w:bookmarkStart w:id="161" w:name="_Toc16938554"/>
      <w:bookmarkStart w:id="162" w:name="_Toc513029238"/>
      <w:r>
        <w:rPr>
          <w:rFonts w:hint="eastAsia" w:asciiTheme="majorEastAsia" w:hAnsiTheme="majorEastAsia" w:eastAsiaTheme="majorEastAsia" w:cstheme="majorEastAsia"/>
          <w:b/>
          <w:bCs/>
          <w:color w:val="auto"/>
          <w:sz w:val="28"/>
          <w:szCs w:val="28"/>
          <w:highlight w:val="none"/>
        </w:rPr>
        <w:t>27、</w:t>
      </w:r>
      <w:bookmarkEnd w:id="160"/>
      <w:r>
        <w:rPr>
          <w:rFonts w:hint="eastAsia" w:asciiTheme="majorEastAsia" w:hAnsiTheme="majorEastAsia" w:eastAsiaTheme="majorEastAsia" w:cstheme="majorEastAsia"/>
          <w:b/>
          <w:bCs/>
          <w:color w:val="auto"/>
          <w:sz w:val="28"/>
          <w:szCs w:val="28"/>
          <w:highlight w:val="none"/>
        </w:rPr>
        <w:t>确定</w:t>
      </w:r>
      <w:bookmarkEnd w:id="161"/>
      <w:bookmarkEnd w:id="162"/>
      <w:r>
        <w:rPr>
          <w:rFonts w:hint="eastAsia" w:asciiTheme="majorEastAsia" w:hAnsiTheme="majorEastAsia" w:eastAsiaTheme="majorEastAsia" w:cstheme="majorEastAsia"/>
          <w:b/>
          <w:bCs/>
          <w:color w:val="auto"/>
          <w:sz w:val="28"/>
          <w:szCs w:val="28"/>
          <w:highlight w:val="none"/>
        </w:rPr>
        <w:t>中标单位</w:t>
      </w:r>
    </w:p>
    <w:p w14:paraId="3EB3D2A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27.1中标候选人的选取原则和数量见招标文件第五章规定。 </w:t>
      </w:r>
    </w:p>
    <w:p w14:paraId="78F1AE93">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27.2采购人应根据评委会推荐的中标候选人确定中标人。</w:t>
      </w:r>
    </w:p>
    <w:p w14:paraId="44BC8B45">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27.3</w:t>
      </w:r>
      <w:r>
        <w:rPr>
          <w:rFonts w:hint="eastAsia" w:asciiTheme="majorEastAsia" w:hAnsiTheme="majorEastAsia" w:eastAsiaTheme="majorEastAsia" w:cstheme="majorEastAsia"/>
          <w:color w:val="auto"/>
          <w:highlight w:val="none"/>
          <w:lang w:val="en-US" w:eastAsia="zh-CN"/>
        </w:rPr>
        <w:t>代理机构</w:t>
      </w:r>
      <w:r>
        <w:rPr>
          <w:rFonts w:hint="eastAsia" w:asciiTheme="majorEastAsia" w:hAnsiTheme="majorEastAsia" w:eastAsiaTheme="majorEastAsia" w:cstheme="majorEastAsia"/>
          <w:color w:val="auto"/>
          <w:highlight w:val="none"/>
        </w:rPr>
        <w:t>将在</w:t>
      </w:r>
      <w:r>
        <w:rPr>
          <w:rFonts w:hint="eastAsia" w:asciiTheme="majorEastAsia" w:hAnsiTheme="majorEastAsia" w:eastAsiaTheme="majorEastAsia" w:cstheme="majorEastAsia"/>
          <w:color w:val="auto"/>
          <w:highlight w:val="none"/>
          <w:lang w:eastAsia="zh-CN"/>
        </w:rPr>
        <w:t>“</w:t>
      </w:r>
      <w:r>
        <w:rPr>
          <w:rFonts w:hint="eastAsia" w:asciiTheme="majorEastAsia" w:hAnsiTheme="majorEastAsia" w:eastAsiaTheme="majorEastAsia" w:cstheme="majorEastAsia"/>
          <w:color w:val="auto"/>
          <w:highlight w:val="none"/>
          <w:lang w:val="en-US" w:eastAsia="zh-CN"/>
        </w:rPr>
        <w:t>中国政府采购网”、</w:t>
      </w:r>
      <w:r>
        <w:rPr>
          <w:rFonts w:hint="eastAsia" w:asciiTheme="majorEastAsia" w:hAnsiTheme="majorEastAsia" w:eastAsiaTheme="majorEastAsia" w:cstheme="majorEastAsia"/>
          <w:color w:val="auto"/>
          <w:highlight w:val="none"/>
        </w:rPr>
        <w:t>“江苏政府采购网”、“盐城市政府采购网”发布中标公告，公告期限为1个工作日。</w:t>
      </w:r>
    </w:p>
    <w:p w14:paraId="4D2A7DD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27.4若有充分证据证明，中标人出现下列情况之一的，一经查实，将被取消中标资格：</w:t>
      </w:r>
    </w:p>
    <w:p w14:paraId="6A584B23">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27.4.1提供虚假材料谋取中标的。</w:t>
      </w:r>
    </w:p>
    <w:p w14:paraId="4174F3BF">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27.4.2向采购人、采购</w:t>
      </w:r>
      <w:r>
        <w:rPr>
          <w:rFonts w:hint="eastAsia" w:asciiTheme="majorEastAsia" w:hAnsiTheme="majorEastAsia" w:eastAsiaTheme="majorEastAsia" w:cstheme="majorEastAsia"/>
          <w:color w:val="auto"/>
          <w:highlight w:val="none"/>
          <w:lang w:val="en-US" w:eastAsia="zh-CN"/>
        </w:rPr>
        <w:t>代理机构</w:t>
      </w:r>
      <w:r>
        <w:rPr>
          <w:rFonts w:hint="eastAsia" w:asciiTheme="majorEastAsia" w:hAnsiTheme="majorEastAsia" w:eastAsiaTheme="majorEastAsia" w:cstheme="majorEastAsia"/>
          <w:color w:val="auto"/>
          <w:highlight w:val="none"/>
        </w:rPr>
        <w:t>行贿或者提供其他不正当利益的。</w:t>
      </w:r>
    </w:p>
    <w:p w14:paraId="789D4D33">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27.4.3属于本文件规定的无效条件，但在评标过程中又未被评委会发现的。</w:t>
      </w:r>
    </w:p>
    <w:p w14:paraId="7F547F49">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27.4.4与采购人或者其他供应商恶意串通的。</w:t>
      </w:r>
    </w:p>
    <w:p w14:paraId="720C9167">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27.4.5采取不正当手段诋毁、排挤其他供应商的。</w:t>
      </w:r>
    </w:p>
    <w:p w14:paraId="208B014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bookmarkStart w:id="163" w:name="_Toc200451960"/>
      <w:r>
        <w:rPr>
          <w:rFonts w:hint="eastAsia" w:asciiTheme="majorEastAsia" w:hAnsiTheme="majorEastAsia" w:eastAsiaTheme="majorEastAsia" w:cstheme="majorEastAsia"/>
          <w:color w:val="auto"/>
          <w:highlight w:val="none"/>
        </w:rPr>
        <w:t>27.5 有下列情形之一的，视为投标人串通投标，投标无效：</w:t>
      </w:r>
      <w:bookmarkEnd w:id="163"/>
    </w:p>
    <w:p w14:paraId="4210E3B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27.5.1不同投标人的投标文件由同一单位或者个人编制。</w:t>
      </w:r>
    </w:p>
    <w:p w14:paraId="48CEC2AA">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27.5.2不同投标人委托同一单位或者个人办理投标事宜。</w:t>
      </w:r>
    </w:p>
    <w:p w14:paraId="070750BB">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27.5.3不同投标人的投标文件载明的项目管理成员或者联系人员为同一人。</w:t>
      </w:r>
    </w:p>
    <w:p w14:paraId="1E91133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27.5.4不同投标人的投标文件异常一致或者投标报价呈规律性差异。</w:t>
      </w:r>
    </w:p>
    <w:p w14:paraId="1B85D171">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28、质疑处理</w:t>
      </w:r>
    </w:p>
    <w:p w14:paraId="42986BE7">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28.1提出质疑的供应商应当是参与所质疑项目采购活动的供应商。潜在供应商依法获取其可质疑的采购文件的，可以对采购文件提出质疑。</w:t>
      </w:r>
    </w:p>
    <w:p w14:paraId="36416037">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28.2供应商认为采购文件、采购过程和采购结果使自己的权益受到损害的，可以在知道或应知其权益受到损害之日起七个工作日内，以书面形式根据下述28.4条款的规定向采购</w:t>
      </w:r>
      <w:r>
        <w:rPr>
          <w:rFonts w:hint="eastAsia" w:asciiTheme="majorEastAsia" w:hAnsiTheme="majorEastAsia" w:eastAsiaTheme="majorEastAsia" w:cstheme="majorEastAsia"/>
          <w:color w:val="auto"/>
          <w:highlight w:val="none"/>
          <w:lang w:val="en-US" w:eastAsia="zh-CN"/>
        </w:rPr>
        <w:t>代理机构</w:t>
      </w:r>
      <w:r>
        <w:rPr>
          <w:rFonts w:hint="eastAsia" w:asciiTheme="majorEastAsia" w:hAnsiTheme="majorEastAsia" w:eastAsiaTheme="majorEastAsia" w:cstheme="majorEastAsia"/>
          <w:color w:val="auto"/>
          <w:highlight w:val="none"/>
        </w:rPr>
        <w:t>或采购人提出质疑。上述应知其权益受到损害之日，是指：</w:t>
      </w:r>
    </w:p>
    <w:p w14:paraId="69136A78">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28.2.1对可以质疑的采购文件提出质疑的，为收到采购文件之日或者采购文件公告期限届满之日；</w:t>
      </w:r>
    </w:p>
    <w:p w14:paraId="24AA4CEF">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28.2.2对采购过程提出质疑的，为各采购程序环节结束之日；</w:t>
      </w:r>
    </w:p>
    <w:p w14:paraId="143E6EC0">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28.2.3对中标或者成交结果提出质疑的，为中标或者成交结果公告期限届满之日。</w:t>
      </w:r>
    </w:p>
    <w:p w14:paraId="15BEDA95">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供应商应当在法定质疑期内一次性提出针对同一采购程序环节的质疑。供应商如在法定期限内对同一采购程序环节提出多次质疑的，采购人将只对供应商第一次质疑作出答复。</w:t>
      </w:r>
    </w:p>
    <w:p w14:paraId="4FAA7110">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6BA01855">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rPr>
        <w:t>28.4供应商（含潜在供应商）对采购方式、采购需求、供应商资格条件及审查结果、评标方法和评标标准、合同文本的询问、质疑请向采购人提出，由采购人负责答复</w:t>
      </w:r>
      <w:r>
        <w:rPr>
          <w:rFonts w:hint="eastAsia" w:asciiTheme="majorEastAsia" w:hAnsiTheme="majorEastAsia" w:eastAsiaTheme="majorEastAsia" w:cstheme="majorEastAsia"/>
          <w:color w:val="auto"/>
          <w:highlight w:val="none"/>
          <w:lang w:eastAsia="zh-CN"/>
        </w:rPr>
        <w:t>。供应商对除上述事项以外其他事项的询问、质疑请向采购中心提出，由采购中心负责答复。</w:t>
      </w:r>
    </w:p>
    <w:p w14:paraId="1895B9F9">
      <w:pPr>
        <w:tabs>
          <w:tab w:val="left" w:pos="1331"/>
        </w:tabs>
        <w:spacing w:line="360" w:lineRule="auto"/>
        <w:ind w:firstLine="480"/>
        <w:jc w:val="left"/>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采购代理机构及采购人只接收以纸质原件形式送达的质疑，采购人和代理机构不接受未填写快递运单的快件。质疑接收部门为招标代理机构，联系电话：</w:t>
      </w:r>
      <w:r>
        <w:rPr>
          <w:rFonts w:hint="eastAsia" w:asciiTheme="majorEastAsia" w:hAnsiTheme="majorEastAsia" w:eastAsiaTheme="majorEastAsia" w:cstheme="majorEastAsia"/>
          <w:color w:val="auto"/>
          <w:sz w:val="24"/>
          <w:szCs w:val="24"/>
          <w:highlight w:val="yellow"/>
          <w:lang w:val="en-US" w:eastAsia="zh-CN"/>
        </w:rPr>
        <w:t>15962061631 </w:t>
      </w:r>
      <w:r>
        <w:rPr>
          <w:rFonts w:hint="eastAsia" w:asciiTheme="majorEastAsia" w:hAnsiTheme="majorEastAsia" w:eastAsiaTheme="majorEastAsia" w:cstheme="majorEastAsia"/>
          <w:color w:val="auto"/>
          <w:sz w:val="24"/>
          <w:szCs w:val="24"/>
          <w:highlight w:val="none"/>
          <w:lang w:val="en-US" w:eastAsia="zh-CN" w:bidi="ar-SA"/>
        </w:rPr>
        <w:t>。</w:t>
      </w:r>
    </w:p>
    <w:p w14:paraId="17FF264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28.5 以下情形的质疑不予受理</w:t>
      </w:r>
    </w:p>
    <w:p w14:paraId="29A61E4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28.5.1内容不符合《政府采购质疑和投诉办法》第十二条规定的质疑。</w:t>
      </w:r>
    </w:p>
    <w:p w14:paraId="0E839AE7">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28.5.2超出政府采购法定期限的质疑。</w:t>
      </w:r>
    </w:p>
    <w:p w14:paraId="7145518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28.5.3以传真、电子邮件等方式递交的非原件形式的质疑。</w:t>
      </w:r>
    </w:p>
    <w:p w14:paraId="505ACBF8">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28.5.4未参加投标活动的供应商或在投标活动中自身权益未受到损害的供应商所提出的质疑。</w:t>
      </w:r>
    </w:p>
    <w:p w14:paraId="56D1DA35">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28.5.5供应商组成联合体参加投标，联合体中任何一方或多方未按要求签字、盖章、加盖公章的质疑。</w:t>
      </w:r>
    </w:p>
    <w:p w14:paraId="6622F66E">
      <w:pPr>
        <w:pStyle w:val="36"/>
        <w:spacing w:beforeAutospacing="0" w:afterAutospacing="0" w:line="360" w:lineRule="auto"/>
        <w:ind w:firstLine="468"/>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28.6供应商提出书面质疑必须有理、有据，不得捏造事实、提供虚假材料进行恶意质疑。否则，一经查实，</w:t>
      </w:r>
      <w:r>
        <w:rPr>
          <w:rFonts w:hint="eastAsia" w:eastAsia="宋体" w:asciiTheme="majorEastAsia" w:hAnsiTheme="majorEastAsia" w:cstheme="majorEastAsia"/>
          <w:color w:val="auto"/>
          <w:highlight w:val="none"/>
          <w:lang w:val="en-US" w:eastAsia="zh-CN"/>
        </w:rPr>
        <w:t>代理机构</w:t>
      </w:r>
      <w:r>
        <w:rPr>
          <w:rFonts w:hint="eastAsia" w:asciiTheme="majorEastAsia" w:hAnsiTheme="majorEastAsia" w:eastAsiaTheme="majorEastAsia" w:cstheme="majorEastAsia"/>
          <w:color w:val="auto"/>
          <w:highlight w:val="none"/>
        </w:rPr>
        <w:t>有权依据政府采购的有关规定，报请政府采购监管部门对该供应商进行相应的行政处罚和记录该供应商的失信信息。</w:t>
      </w:r>
    </w:p>
    <w:p w14:paraId="7A4B9560">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29、中标通知书</w:t>
      </w:r>
    </w:p>
    <w:p w14:paraId="0F05076E">
      <w:pPr>
        <w:pStyle w:val="36"/>
        <w:spacing w:beforeAutospacing="0" w:afterAutospacing="0" w:line="360" w:lineRule="auto"/>
        <w:ind w:firstLine="6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29.l中标结果确定后，</w:t>
      </w:r>
      <w:r>
        <w:rPr>
          <w:rFonts w:hint="eastAsia" w:ascii="宋体" w:hAnsi="宋体" w:cs="宋体"/>
          <w:color w:val="auto"/>
          <w:sz w:val="24"/>
          <w:szCs w:val="24"/>
          <w:highlight w:val="none"/>
          <w:lang w:bidi="ar"/>
        </w:rPr>
        <w:t>代理机构</w:t>
      </w:r>
      <w:r>
        <w:rPr>
          <w:rFonts w:hint="eastAsia" w:asciiTheme="majorEastAsia" w:hAnsiTheme="majorEastAsia" w:eastAsiaTheme="majorEastAsia" w:cstheme="majorEastAsia"/>
          <w:color w:val="auto"/>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AA54EE3">
      <w:pPr>
        <w:pStyle w:val="36"/>
        <w:spacing w:beforeAutospacing="0" w:afterAutospacing="0" w:line="360" w:lineRule="auto"/>
        <w:ind w:firstLine="6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29.2中标通知书将是合同的一个组成部分。对采购人和中标人均具有法律效力。中标通知书发出后，采购人改变中标结果的，或者中标人放弃中标项目的，应当依法承担法律责任。</w:t>
      </w:r>
    </w:p>
    <w:p w14:paraId="38F86A5D">
      <w:pPr>
        <w:pStyle w:val="36"/>
        <w:keepNext/>
        <w:keepLines/>
        <w:numPr>
          <w:ilvl w:val="0"/>
          <w:numId w:val="3"/>
        </w:numPr>
        <w:spacing w:before="145" w:beforeAutospacing="0" w:after="145" w:afterAutospacing="0" w:line="360" w:lineRule="auto"/>
        <w:ind w:firstLine="321"/>
        <w:jc w:val="both"/>
        <w:rPr>
          <w:rFonts w:hint="eastAsia" w:asciiTheme="majorEastAsia" w:hAnsiTheme="majorEastAsia" w:eastAsiaTheme="majorEastAsia" w:cstheme="majorEastAsia"/>
          <w:b/>
          <w:color w:val="auto"/>
          <w:sz w:val="32"/>
          <w:szCs w:val="32"/>
          <w:highlight w:val="none"/>
        </w:rPr>
      </w:pPr>
      <w:bookmarkStart w:id="164" w:name="_Toc120614220"/>
      <w:bookmarkStart w:id="165" w:name="_Toc513029236"/>
      <w:bookmarkStart w:id="166" w:name="_Toc16938552"/>
      <w:bookmarkStart w:id="167" w:name="_Toc20823308"/>
      <w:r>
        <w:rPr>
          <w:rFonts w:hint="eastAsia" w:asciiTheme="majorEastAsia" w:hAnsiTheme="majorEastAsia" w:eastAsiaTheme="majorEastAsia" w:cstheme="majorEastAsia"/>
          <w:b/>
          <w:color w:val="auto"/>
          <w:sz w:val="32"/>
          <w:szCs w:val="32"/>
          <w:highlight w:val="none"/>
        </w:rPr>
        <w:t>授予合同</w:t>
      </w:r>
      <w:bookmarkEnd w:id="164"/>
      <w:bookmarkEnd w:id="165"/>
      <w:bookmarkEnd w:id="166"/>
      <w:bookmarkEnd w:id="167"/>
    </w:p>
    <w:p w14:paraId="6ACCED81">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bookmarkStart w:id="168" w:name="_Toc513029237"/>
      <w:bookmarkStart w:id="169" w:name="_Toc16938553"/>
      <w:bookmarkStart w:id="170" w:name="_Toc20823309"/>
      <w:r>
        <w:rPr>
          <w:rFonts w:hint="eastAsia" w:asciiTheme="majorEastAsia" w:hAnsiTheme="majorEastAsia" w:eastAsiaTheme="majorEastAsia" w:cstheme="majorEastAsia"/>
          <w:b/>
          <w:bCs/>
          <w:color w:val="auto"/>
          <w:sz w:val="28"/>
          <w:szCs w:val="28"/>
          <w:highlight w:val="none"/>
        </w:rPr>
        <w:t>30.签订合同</w:t>
      </w:r>
      <w:bookmarkEnd w:id="168"/>
      <w:bookmarkEnd w:id="169"/>
      <w:bookmarkEnd w:id="170"/>
    </w:p>
    <w:p w14:paraId="49272DD0">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30.l中标人应当在中标通知书发出之日起三十日内，按照招标文件确定的事项与采购人签订政府采购合同。</w:t>
      </w:r>
    </w:p>
    <w:p w14:paraId="00518D93">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30.2招标文件、中标人的投标文件及招标过程中有关澄清、承诺文件均应作为合同附件。</w:t>
      </w:r>
    </w:p>
    <w:p w14:paraId="1809F5C5">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30.3签订合同后，</w:t>
      </w:r>
      <w:r>
        <w:rPr>
          <w:rFonts w:hint="eastAsia" w:asciiTheme="majorEastAsia" w:hAnsiTheme="majorEastAsia" w:eastAsiaTheme="majorEastAsia" w:cstheme="majorEastAsia"/>
          <w:i/>
          <w:iCs/>
          <w:color w:val="auto"/>
          <w:highlight w:val="none"/>
          <w:u w:val="single"/>
        </w:rPr>
        <w:t>中标人不得将合同标的进行转包</w:t>
      </w:r>
      <w:r>
        <w:rPr>
          <w:rFonts w:hint="eastAsia" w:asciiTheme="majorEastAsia" w:hAnsiTheme="majorEastAsia" w:eastAsiaTheme="majorEastAsia" w:cstheme="majorEastAsia"/>
          <w:color w:val="auto"/>
          <w:highlight w:val="none"/>
        </w:rPr>
        <w:t>。未经采购人同意，中标人也不得采用分包的形式履行合同，否则采购人有权终止合同。转包或分包造成采购人损失的，中标人应承担相应赔偿责任。</w:t>
      </w:r>
    </w:p>
    <w:p w14:paraId="4CEC8432">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31、服务（包含与服务相关的货物）的追加</w:t>
      </w:r>
    </w:p>
    <w:p w14:paraId="51C79E6C">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58DA6DFC">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bookmarkStart w:id="171" w:name="_Toc20823314"/>
      <w:bookmarkStart w:id="172" w:name="_Toc120614221"/>
      <w:bookmarkStart w:id="173" w:name="_Toc479757207"/>
      <w:bookmarkStart w:id="174" w:name="_Toc16938558"/>
      <w:bookmarkStart w:id="175" w:name="_Toc513029242"/>
      <w:r>
        <w:rPr>
          <w:rFonts w:hint="eastAsia" w:asciiTheme="majorEastAsia" w:hAnsiTheme="majorEastAsia" w:eastAsiaTheme="majorEastAsia" w:cstheme="majorEastAsia"/>
          <w:b/>
          <w:bCs/>
          <w:color w:val="auto"/>
          <w:sz w:val="28"/>
          <w:szCs w:val="28"/>
          <w:highlight w:val="none"/>
        </w:rPr>
        <w:t>32、</w:t>
      </w:r>
      <w:bookmarkEnd w:id="171"/>
      <w:bookmarkEnd w:id="172"/>
      <w:bookmarkEnd w:id="173"/>
      <w:bookmarkEnd w:id="174"/>
      <w:bookmarkEnd w:id="175"/>
      <w:r>
        <w:rPr>
          <w:rFonts w:hint="eastAsia" w:asciiTheme="majorEastAsia" w:hAnsiTheme="majorEastAsia" w:eastAsiaTheme="majorEastAsia" w:cstheme="majorEastAsia"/>
          <w:b/>
          <w:bCs/>
          <w:color w:val="auto"/>
          <w:sz w:val="28"/>
          <w:szCs w:val="28"/>
          <w:highlight w:val="none"/>
          <w:lang w:val="en-US" w:eastAsia="zh-CN"/>
        </w:rPr>
        <w:t>政府采购政策功能落实</w:t>
      </w:r>
    </w:p>
    <w:p w14:paraId="043AD927">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32.1</w:t>
      </w:r>
      <w:r>
        <w:rPr>
          <w:rFonts w:hint="eastAsia" w:asciiTheme="majorEastAsia" w:hAnsiTheme="majorEastAsia" w:eastAsiaTheme="majorEastAsia" w:cstheme="majorEastAsia"/>
          <w:color w:val="auto"/>
          <w:highlight w:val="none"/>
        </w:rPr>
        <w:t>政府采购</w:t>
      </w:r>
      <w:r>
        <w:rPr>
          <w:rFonts w:hint="eastAsia" w:asciiTheme="majorEastAsia" w:hAnsiTheme="majorEastAsia" w:eastAsiaTheme="majorEastAsia" w:cstheme="majorEastAsia"/>
          <w:color w:val="auto"/>
          <w:highlight w:val="none"/>
          <w:lang w:eastAsia="zh-CN"/>
        </w:rPr>
        <w:t>线上合同信用融资</w:t>
      </w:r>
      <w:r>
        <w:rPr>
          <w:rFonts w:hint="eastAsia" w:asciiTheme="majorEastAsia" w:hAnsiTheme="majorEastAsia" w:eastAsiaTheme="majorEastAsia" w:cstheme="majorEastAsia"/>
          <w:color w:val="auto"/>
          <w:highlight w:val="none"/>
        </w:rPr>
        <w:t>政策</w:t>
      </w:r>
    </w:p>
    <w:p w14:paraId="31700A20">
      <w:pPr>
        <w:pStyle w:val="36"/>
        <w:spacing w:beforeAutospacing="0" w:afterAutospacing="0" w:line="360" w:lineRule="auto"/>
        <w:ind w:firstLine="480"/>
        <w:jc w:val="both"/>
        <w:rPr>
          <w:rFonts w:ascii="宋体" w:hAnsi="宋体" w:cs="宋体"/>
          <w:color w:val="auto"/>
          <w:sz w:val="24"/>
          <w:szCs w:val="24"/>
          <w:highlight w:val="none"/>
        </w:rPr>
      </w:pPr>
      <w:r>
        <w:rPr>
          <w:rFonts w:hint="eastAsia" w:asciiTheme="majorEastAsia" w:hAnsiTheme="majorEastAsia" w:eastAsiaTheme="majorEastAsia" w:cstheme="majorEastAsia"/>
          <w:color w:val="auto"/>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eastAsia="宋体" w:asciiTheme="majorEastAsia" w:hAnsiTheme="majorEastAsia" w:cstheme="majorEastAsia"/>
          <w:color w:val="auto"/>
          <w:highlight w:val="none"/>
          <w:lang w:val="en-US" w:eastAsia="zh-CN"/>
        </w:rPr>
        <w:t>江苏</w:t>
      </w:r>
      <w:r>
        <w:rPr>
          <w:rFonts w:hint="eastAsia" w:asciiTheme="majorEastAsia" w:hAnsiTheme="majorEastAsia" w:eastAsiaTheme="majorEastAsia" w:cstheme="majorEastAsia"/>
          <w:color w:val="auto"/>
          <w:highlight w:val="none"/>
        </w:rPr>
        <w:t>政府采购网“政采贷”栏目）申请贷款，相关金融机构按照双方自愿的原则提供便捷、优惠的贷款服务；</w:t>
      </w:r>
      <w:r>
        <w:rPr>
          <w:rFonts w:hint="eastAsia" w:ascii="宋体" w:hAnsi="宋体" w:eastAsia="宋体"/>
          <w:bCs/>
          <w:color w:val="auto"/>
          <w:sz w:val="24"/>
          <w:szCs w:val="24"/>
          <w:highlight w:val="none"/>
          <w:lang w:val="en-US" w:eastAsia="zh-CN"/>
        </w:rPr>
        <w:t>具体操作流程请参考苏采云系统中</w:t>
      </w:r>
      <w:r>
        <w:rPr>
          <w:rFonts w:hint="eastAsia" w:ascii="宋体" w:hAnsi="宋体"/>
          <w:bCs/>
          <w:color w:val="auto"/>
          <w:sz w:val="24"/>
          <w:szCs w:val="24"/>
          <w:highlight w:val="none"/>
          <w:lang w:val="zh-CN"/>
        </w:rPr>
        <w:t>操作手册</w:t>
      </w:r>
      <w:r>
        <w:rPr>
          <w:rFonts w:hint="eastAsia" w:ascii="宋体" w:hAnsi="宋体" w:cs="宋体"/>
          <w:color w:val="auto"/>
          <w:sz w:val="24"/>
          <w:szCs w:val="24"/>
          <w:highlight w:val="none"/>
        </w:rPr>
        <w:t>。</w:t>
      </w:r>
    </w:p>
    <w:p w14:paraId="4684020E">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32.2进口产品</w:t>
      </w:r>
    </w:p>
    <w:p w14:paraId="1F32150E">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进口产品</w:t>
      </w:r>
      <w:r>
        <w:rPr>
          <w:rFonts w:hint="eastAsia" w:asciiTheme="majorEastAsia" w:hAnsiTheme="majorEastAsia" w:eastAsiaTheme="majorEastAsia" w:cstheme="majorEastAsia"/>
          <w:color w:val="auto"/>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B8DDF7A">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32.3中小企业、监狱企业及残疾人福利性单位</w:t>
      </w:r>
    </w:p>
    <w:p w14:paraId="01DB680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32.3.1中小企业定义：</w:t>
      </w:r>
    </w:p>
    <w:p w14:paraId="7350E848">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BA90C35">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32.3.2供应商提供的货物、工程或者服务符合下列情形的，享受中小企业扶持政策：</w:t>
      </w:r>
    </w:p>
    <w:p w14:paraId="28DABB8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32.3.2.1在货物采购项目中，货物由中小企业制造，即货物由中小企业生产且使用该中小企业商号或者注册商标；</w:t>
      </w:r>
    </w:p>
    <w:p w14:paraId="53650C60">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32.3.2.2在工程采购项目中，工程由中小企业承建，即工程施工单位为中小企业；</w:t>
      </w:r>
    </w:p>
    <w:p w14:paraId="05C8D14E">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32.3.2.3在服务采购项目中，服务由中小企业承接，即提供服务的人员为中小企业依照《中华人民共和国劳动合同法》订立劳动合同的从业人员。</w:t>
      </w:r>
    </w:p>
    <w:p w14:paraId="1CF8C131">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32.3.3在货物采购项目中，供应商提供的货物既有中小企业制造货物，也有大型企业制造货物的，不享受中小企业扶持政策。</w:t>
      </w:r>
    </w:p>
    <w:p w14:paraId="3BDD7338">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32.3.4以联合体形式参加政府采购活动，联合体各方均为中小企业的，联合体视同中小企业。其中，联合体各方均为小微企业的，联合体视同小微企业。</w:t>
      </w:r>
    </w:p>
    <w:p w14:paraId="7CE1A6E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47EF7B7">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32.3.6残疾人福利单位定义：享受政府采购支持政策的残疾人福利性单位应当同时满足以下条件：</w:t>
      </w:r>
    </w:p>
    <w:p w14:paraId="07B7178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32.3.6.1安置的残疾人占本单位在职职工人数的比例不低于25%（含25%），并且安置的残疾人人数不少于10 人（含10 人）；</w:t>
      </w:r>
    </w:p>
    <w:p w14:paraId="427AED4A">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32.3.6.2依法与安置的每位残疾人签订了一年以上（含一年）的劳动合同或服务协议；</w:t>
      </w:r>
    </w:p>
    <w:p w14:paraId="7350BC79">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32.3.6.3为安置的每位残疾人按月足额缴纳了基本养老保险、基本医疗保险、失业保险、工伤保险和生育保险等社会保险费；</w:t>
      </w:r>
    </w:p>
    <w:p w14:paraId="6C187E0F">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32.3.6.4通过银行等金融机构向安置的每位残疾人，按月支付了不低于单位所在区县适用的经省级人民政府批准的月最低工资标准的工资；</w:t>
      </w:r>
    </w:p>
    <w:p w14:paraId="037B776C">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32.3.6.5提供本单位制造的货物、承担的工程或者服务（以下简称产品），或者提供其他残疾人福利性单位制造的货物（不包括使用非残疾人福利性单位注册商标的货物）；</w:t>
      </w:r>
    </w:p>
    <w:p w14:paraId="363F18C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1374E45">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32.3.7本项目是否专门面向中小企业预留采购份额见第一章《招标公告》。</w:t>
      </w:r>
    </w:p>
    <w:p w14:paraId="507815EA">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32.3.8采购标的对应的中小企业划分标准所属行业见第四章《采购需求》。</w:t>
      </w:r>
    </w:p>
    <w:p w14:paraId="6E5F675B">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32.3.9小微企业价格评审优惠的政策：见第五章《评标方法和评标标准》。</w:t>
      </w:r>
    </w:p>
    <w:p w14:paraId="0EC44215">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32.4政府采购节能产品、环境标志产品</w:t>
      </w:r>
    </w:p>
    <w:p w14:paraId="6A290943">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52C1B47">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02E14DE">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32.5绿色包装</w:t>
      </w:r>
    </w:p>
    <w:p w14:paraId="07C07290">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620DB6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32.6政府采购创新产品</w:t>
      </w:r>
    </w:p>
    <w:p w14:paraId="7BDBEB90">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采购人优先采购各级政府部门公开发布的有效期内的创新产品、创新服务、首台套、首购首用等《目录》的创新产品。</w:t>
      </w:r>
    </w:p>
    <w:p w14:paraId="07FD22CC">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32.7绿色数据中心政策 </w:t>
      </w:r>
    </w:p>
    <w:p w14:paraId="7A152669">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837EE08">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32.8履约保证金政策</w:t>
      </w:r>
    </w:p>
    <w:p w14:paraId="48EEFCEA">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确需收取履约保证金的，履约保证金的缴纳形式：</w:t>
      </w:r>
    </w:p>
    <w:p w14:paraId="774696E8">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6ADF53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 如以履约保函（保险）形式缴纳履约保证金，供应商可通过政府采购电子履约保函（保险）平台（www.jsdzbh.com）在线申请履约保函（保险）。</w:t>
      </w:r>
    </w:p>
    <w:p w14:paraId="79B11C7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474DBFF1">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lang w:val="en-US" w:eastAsia="zh-CN"/>
        </w:rPr>
      </w:pPr>
      <w:r>
        <w:rPr>
          <w:rFonts w:hint="eastAsia" w:asciiTheme="majorEastAsia" w:hAnsiTheme="majorEastAsia" w:eastAsiaTheme="majorEastAsia" w:cstheme="majorEastAsia"/>
          <w:b/>
          <w:bCs/>
          <w:color w:val="auto"/>
          <w:sz w:val="28"/>
          <w:szCs w:val="28"/>
          <w:highlight w:val="none"/>
          <w:lang w:val="en-US" w:eastAsia="zh-CN"/>
        </w:rPr>
        <w:t>33. 预付款制度</w:t>
      </w:r>
    </w:p>
    <w:p w14:paraId="7AE406AF">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本项目落实预付款制度，预付款比例为</w:t>
      </w:r>
      <w:r>
        <w:rPr>
          <w:rFonts w:hint="eastAsia" w:asciiTheme="majorEastAsia" w:hAnsiTheme="majorEastAsia" w:eastAsiaTheme="majorEastAsia" w:cstheme="majorEastAsia"/>
          <w:color w:val="auto"/>
          <w:highlight w:val="none"/>
          <w:u w:val="single"/>
          <w:lang w:val="en-US" w:eastAsia="zh-CN"/>
        </w:rPr>
        <w:t>_30_</w:t>
      </w:r>
      <w:r>
        <w:rPr>
          <w:rFonts w:hint="eastAsia" w:asciiTheme="majorEastAsia" w:hAnsiTheme="majorEastAsia" w:eastAsiaTheme="majorEastAsia" w:cstheme="majorEastAsia"/>
          <w:color w:val="auto"/>
          <w:highlight w:val="none"/>
          <w:lang w:val="en-US" w:eastAsia="zh-CN"/>
        </w:rPr>
        <w:t>%。在签订合同时，中标、成交供应商明确书面表示无需预付款或者主动要求降低预付款比例的，采购人可就预付款比例作相应调整。</w:t>
      </w:r>
    </w:p>
    <w:p w14:paraId="5AB5F1FA">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142FD057">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154EA7F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283EF070">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1192686B">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7D68FD8B">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7990E585">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20326AB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2E5F5550">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41E48CB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2A91AC09">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578404A5">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62E7BA63">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113E5AC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09722AB9">
      <w:pPr>
        <w:pStyle w:val="36"/>
        <w:spacing w:beforeAutospacing="0" w:afterAutospacing="0" w:line="360" w:lineRule="auto"/>
        <w:jc w:val="both"/>
        <w:rPr>
          <w:rFonts w:hint="eastAsia" w:asciiTheme="majorEastAsia" w:hAnsiTheme="majorEastAsia" w:eastAsiaTheme="majorEastAsia" w:cstheme="majorEastAsia"/>
          <w:color w:val="auto"/>
          <w:highlight w:val="none"/>
          <w:lang w:val="en-US" w:eastAsia="zh-CN"/>
        </w:rPr>
      </w:pPr>
    </w:p>
    <w:p w14:paraId="4A8BDDD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4273538B">
      <w:pPr>
        <w:pStyle w:val="36"/>
        <w:keepNext/>
        <w:spacing w:beforeAutospacing="0" w:afterAutospacing="0" w:line="360" w:lineRule="auto"/>
        <w:jc w:val="center"/>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sz w:val="44"/>
          <w:szCs w:val="44"/>
          <w:highlight w:val="none"/>
        </w:rPr>
        <w:t>第三章  合同文本</w:t>
      </w:r>
    </w:p>
    <w:p w14:paraId="524D195A">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bookmarkStart w:id="176" w:name="_Toc20823315"/>
      <w:bookmarkStart w:id="177" w:name="_Toc513029243"/>
      <w:bookmarkStart w:id="178" w:name="_Toc16938559"/>
      <w:r>
        <w:rPr>
          <w:rFonts w:hint="eastAsia" w:asciiTheme="majorEastAsia" w:hAnsiTheme="majorEastAsia" w:eastAsiaTheme="majorEastAsia" w:cstheme="majorEastAsia"/>
          <w:color w:val="auto"/>
          <w:highlight w:val="none"/>
        </w:rPr>
        <w:t>以下为中标后签定本项目合同的通用条款，中标人不得提出实质性的修改。</w:t>
      </w:r>
      <w:bookmarkEnd w:id="176"/>
      <w:bookmarkEnd w:id="177"/>
      <w:bookmarkEnd w:id="178"/>
    </w:p>
    <w:p w14:paraId="1C96659E">
      <w:pPr>
        <w:pStyle w:val="36"/>
        <w:spacing w:before="145" w:beforeAutospacing="0" w:after="145" w:afterAutospacing="0" w:line="360" w:lineRule="auto"/>
        <w:jc w:val="center"/>
        <w:rPr>
          <w:rFonts w:hint="eastAsia" w:asciiTheme="majorEastAsia" w:hAnsiTheme="majorEastAsia" w:eastAsiaTheme="majorEastAsia" w:cstheme="majorEastAsia"/>
          <w:b/>
          <w:color w:val="auto"/>
          <w:sz w:val="30"/>
          <w:szCs w:val="30"/>
          <w:highlight w:val="none"/>
        </w:rPr>
      </w:pPr>
      <w:r>
        <w:rPr>
          <w:rFonts w:hint="eastAsia" w:asciiTheme="majorEastAsia" w:hAnsiTheme="majorEastAsia" w:eastAsiaTheme="majorEastAsia" w:cstheme="majorEastAsia"/>
          <w:b/>
          <w:color w:val="auto"/>
          <w:sz w:val="30"/>
          <w:szCs w:val="30"/>
          <w:highlight w:val="none"/>
        </w:rPr>
        <w:t>盐城市政府采购合同</w:t>
      </w:r>
    </w:p>
    <w:p w14:paraId="00AC3C7A">
      <w:pPr>
        <w:widowControl/>
        <w:spacing w:line="560" w:lineRule="exact"/>
        <w:ind w:firstLine="480"/>
        <w:rPr>
          <w:rFonts w:hint="default" w:asciiTheme="majorEastAsia" w:hAnsiTheme="majorEastAsia" w:eastAsiaTheme="majorEastAsia" w:cstheme="majorEastAsia"/>
          <w:color w:val="auto"/>
          <w:sz w:val="24"/>
          <w:szCs w:val="24"/>
          <w:highlight w:val="none"/>
          <w:lang w:val="en-US" w:eastAsia="zh-CN"/>
        </w:rPr>
      </w:pPr>
      <w:bookmarkStart w:id="179" w:name="_Toc479757211"/>
      <w:bookmarkStart w:id="180" w:name="_Toc20823346"/>
      <w:bookmarkStart w:id="181" w:name="_Toc120614244"/>
      <w:bookmarkStart w:id="182" w:name="_Toc462564139"/>
      <w:bookmarkStart w:id="183" w:name="_Hlt16619350"/>
      <w:bookmarkStart w:id="184" w:name="_Toc16938590"/>
      <w:bookmarkStart w:id="185" w:name="_Hlt16619369"/>
      <w:r>
        <w:rPr>
          <w:rFonts w:hint="eastAsia" w:eastAsia="Arial"/>
          <w:color w:val="auto"/>
          <w:sz w:val="24"/>
          <w:szCs w:val="24"/>
          <w:highlight w:val="none"/>
          <w:lang w:val="zh-CN"/>
        </w:rPr>
        <w:t>项目名称：</w:t>
      </w:r>
      <w:r>
        <w:rPr>
          <w:rFonts w:hint="eastAsia" w:asciiTheme="majorEastAsia" w:hAnsiTheme="majorEastAsia" w:eastAsiaTheme="majorEastAsia" w:cstheme="majorEastAsia"/>
          <w:color w:val="auto"/>
          <w:sz w:val="24"/>
          <w:szCs w:val="24"/>
          <w:highlight w:val="none"/>
          <w:lang w:val="en-US" w:eastAsia="zh-CN"/>
        </w:rPr>
        <w:t xml:space="preserve">2025年11月-2027年11月大洋街道辖区公厕管护服务采购项目    </w:t>
      </w:r>
    </w:p>
    <w:p w14:paraId="364F2955">
      <w:pPr>
        <w:widowControl/>
        <w:spacing w:line="520" w:lineRule="exact"/>
        <w:ind w:firstLine="480"/>
        <w:rPr>
          <w:rFonts w:hint="eastAsia" w:eastAsia="Arial"/>
          <w:color w:val="auto"/>
          <w:sz w:val="24"/>
          <w:szCs w:val="24"/>
          <w:highlight w:val="none"/>
          <w:lang w:val="zh-CN"/>
        </w:rPr>
      </w:pPr>
      <w:r>
        <w:rPr>
          <w:rFonts w:hint="eastAsia" w:eastAsia="Arial"/>
          <w:color w:val="auto"/>
          <w:sz w:val="24"/>
          <w:szCs w:val="24"/>
          <w:highlight w:val="none"/>
          <w:lang w:val="zh-CN"/>
        </w:rPr>
        <w:t>项目编号：</w:t>
      </w:r>
    </w:p>
    <w:p w14:paraId="0C45CB74">
      <w:pPr>
        <w:widowControl/>
        <w:spacing w:line="560" w:lineRule="exact"/>
        <w:ind w:firstLine="480"/>
        <w:rPr>
          <w:rFonts w:hint="default" w:eastAsiaTheme="minorEastAsia"/>
          <w:color w:val="auto"/>
          <w:sz w:val="24"/>
          <w:szCs w:val="20"/>
          <w:highlight w:val="none"/>
          <w:lang w:val="en-US" w:eastAsia="zh-CN"/>
        </w:rPr>
      </w:pPr>
      <w:r>
        <w:rPr>
          <w:rFonts w:hint="eastAsia"/>
          <w:color w:val="auto"/>
          <w:sz w:val="24"/>
          <w:szCs w:val="20"/>
          <w:highlight w:val="none"/>
        </w:rPr>
        <w:t>甲方：</w:t>
      </w:r>
      <w:r>
        <w:rPr>
          <w:rFonts w:hint="eastAsia"/>
          <w:color w:val="auto"/>
          <w:sz w:val="24"/>
          <w:szCs w:val="20"/>
          <w:highlight w:val="none"/>
          <w:u w:val="single"/>
        </w:rPr>
        <w:t xml:space="preserve"> </w:t>
      </w:r>
      <w:r>
        <w:rPr>
          <w:rFonts w:hint="eastAsia"/>
          <w:color w:val="auto"/>
          <w:sz w:val="24"/>
          <w:szCs w:val="20"/>
          <w:highlight w:val="none"/>
          <w:u w:val="single"/>
          <w:lang w:val="en-US" w:eastAsia="zh-CN"/>
        </w:rPr>
        <w:t xml:space="preserve">                    </w:t>
      </w:r>
    </w:p>
    <w:p w14:paraId="752500E8">
      <w:pPr>
        <w:widowControl/>
        <w:spacing w:line="520" w:lineRule="exact"/>
        <w:ind w:firstLine="480"/>
        <w:rPr>
          <w:rFonts w:hint="eastAsia" w:eastAsia="Arial"/>
          <w:color w:val="auto"/>
          <w:sz w:val="24"/>
          <w:szCs w:val="24"/>
          <w:highlight w:val="none"/>
          <w:lang w:val="zh-CN"/>
        </w:rPr>
      </w:pPr>
      <w:r>
        <w:rPr>
          <w:rFonts w:hint="eastAsia" w:eastAsia="Arial"/>
          <w:color w:val="auto"/>
          <w:sz w:val="24"/>
          <w:szCs w:val="24"/>
          <w:highlight w:val="none"/>
          <w:lang w:val="zh-CN"/>
        </w:rPr>
        <w:t>乙方：</w:t>
      </w:r>
      <w:r>
        <w:rPr>
          <w:rFonts w:hint="eastAsia" w:eastAsia="Arial"/>
          <w:color w:val="auto"/>
          <w:sz w:val="24"/>
          <w:szCs w:val="24"/>
          <w:highlight w:val="none"/>
          <w:u w:val="single"/>
          <w:lang w:val="zh-CN"/>
        </w:rPr>
        <w:t xml:space="preserve">                     </w:t>
      </w:r>
      <w:r>
        <w:rPr>
          <w:rFonts w:hint="eastAsia" w:eastAsia="Arial"/>
          <w:color w:val="auto"/>
          <w:sz w:val="24"/>
          <w:szCs w:val="24"/>
          <w:highlight w:val="none"/>
          <w:lang w:val="zh-CN"/>
        </w:rPr>
        <w:t xml:space="preserve">     </w:t>
      </w:r>
    </w:p>
    <w:p w14:paraId="1637006A">
      <w:pPr>
        <w:widowControl/>
        <w:spacing w:line="520" w:lineRule="exact"/>
        <w:ind w:firstLine="480"/>
        <w:rPr>
          <w:rFonts w:hint="eastAsia" w:eastAsia="Arial"/>
          <w:color w:val="auto"/>
          <w:sz w:val="24"/>
          <w:szCs w:val="24"/>
          <w:highlight w:val="none"/>
          <w:lang w:val="zh-CN" w:eastAsia="zh-CN"/>
        </w:rPr>
      </w:pPr>
      <w:r>
        <w:rPr>
          <w:rFonts w:hint="eastAsia" w:eastAsia="Arial"/>
          <w:color w:val="auto"/>
          <w:sz w:val="24"/>
          <w:szCs w:val="24"/>
          <w:highlight w:val="none"/>
          <w:lang w:val="zh-CN" w:eastAsia="zh-CN"/>
        </w:rPr>
        <w:t>甲、乙双方根据</w:t>
      </w:r>
      <w:r>
        <w:rPr>
          <w:rFonts w:hint="eastAsia" w:eastAsia="Arial"/>
          <w:color w:val="auto"/>
          <w:sz w:val="24"/>
          <w:szCs w:val="24"/>
          <w:highlight w:val="none"/>
          <w:u w:val="single"/>
          <w:lang w:val="en-US" w:eastAsia="zh-CN"/>
        </w:rPr>
        <w:t>2025年11月-2027年11月大洋街道辖区公厕管护服务采购项目</w:t>
      </w:r>
      <w:r>
        <w:rPr>
          <w:rFonts w:hint="eastAsia" w:eastAsia="Arial"/>
          <w:color w:val="auto"/>
          <w:sz w:val="24"/>
          <w:szCs w:val="24"/>
          <w:highlight w:val="none"/>
          <w:lang w:val="zh-CN" w:eastAsia="zh-CN"/>
        </w:rPr>
        <w:t>公开招标的结果，为明确各自权利义务和有关事项，甲乙双方根据相关法律法规和招投标文件内容，签订合同如下：</w:t>
      </w:r>
    </w:p>
    <w:p w14:paraId="1271BC9A">
      <w:pPr>
        <w:widowControl/>
        <w:spacing w:line="520" w:lineRule="exact"/>
        <w:ind w:firstLine="480"/>
        <w:rPr>
          <w:rFonts w:hint="eastAsia"/>
          <w:b/>
          <w:bCs/>
          <w:color w:val="auto"/>
          <w:sz w:val="24"/>
          <w:szCs w:val="24"/>
          <w:highlight w:val="none"/>
        </w:rPr>
      </w:pPr>
      <w:r>
        <w:rPr>
          <w:rFonts w:hint="eastAsia"/>
          <w:b/>
          <w:bCs/>
          <w:color w:val="auto"/>
          <w:sz w:val="24"/>
          <w:szCs w:val="24"/>
          <w:highlight w:val="none"/>
        </w:rPr>
        <w:t>一、项目概况：</w:t>
      </w:r>
    </w:p>
    <w:p w14:paraId="3E73A017">
      <w:pPr>
        <w:widowControl/>
        <w:spacing w:line="520" w:lineRule="exact"/>
        <w:ind w:firstLine="480"/>
        <w:rPr>
          <w:rFonts w:hint="eastAsia" w:asciiTheme="majorEastAsia" w:hAnsiTheme="majorEastAsia" w:eastAsiaTheme="majorEastAsia" w:cstheme="majorEastAsia"/>
          <w:color w:val="auto"/>
          <w:sz w:val="24"/>
          <w:szCs w:val="24"/>
          <w:highlight w:val="none"/>
          <w:lang w:val="en-US" w:eastAsia="zh-CN"/>
        </w:rPr>
      </w:pPr>
      <w:r>
        <w:rPr>
          <w:rFonts w:hint="eastAsia"/>
          <w:color w:val="auto"/>
          <w:sz w:val="24"/>
          <w:szCs w:val="24"/>
          <w:highlight w:val="none"/>
        </w:rPr>
        <w:t>1.1项目名称：</w:t>
      </w:r>
      <w:r>
        <w:rPr>
          <w:rFonts w:hint="eastAsia" w:asciiTheme="majorEastAsia" w:hAnsiTheme="majorEastAsia" w:eastAsiaTheme="majorEastAsia" w:cstheme="majorEastAsia"/>
          <w:color w:val="auto"/>
          <w:sz w:val="24"/>
          <w:szCs w:val="24"/>
          <w:highlight w:val="none"/>
          <w:lang w:val="en-US" w:eastAsia="zh-CN"/>
        </w:rPr>
        <w:t xml:space="preserve">2025年11月-2027年11月大洋街道辖区公厕管护服务采购项目    </w:t>
      </w:r>
    </w:p>
    <w:p w14:paraId="317D0850">
      <w:pPr>
        <w:widowControl/>
        <w:spacing w:line="520" w:lineRule="exact"/>
        <w:ind w:firstLine="480"/>
        <w:rPr>
          <w:rFonts w:hint="eastAsia"/>
          <w:color w:val="auto"/>
          <w:sz w:val="24"/>
          <w:szCs w:val="24"/>
          <w:highlight w:val="none"/>
          <w:shd w:val="clear" w:color="auto" w:fill="FF0000"/>
        </w:rPr>
      </w:pPr>
      <w:r>
        <w:rPr>
          <w:rFonts w:hint="eastAsia"/>
          <w:color w:val="auto"/>
          <w:sz w:val="24"/>
          <w:szCs w:val="24"/>
          <w:highlight w:val="none"/>
        </w:rPr>
        <w:t>1.2项目内容：</w:t>
      </w:r>
      <w:r>
        <w:rPr>
          <w:rFonts w:hint="eastAsia" w:asciiTheme="majorEastAsia" w:hAnsiTheme="majorEastAsia" w:eastAsiaTheme="majorEastAsia" w:cstheme="majorEastAsia"/>
          <w:color w:val="auto"/>
          <w:sz w:val="24"/>
          <w:szCs w:val="24"/>
          <w:highlight w:val="none"/>
          <w:lang w:val="en-US" w:eastAsia="zh-CN"/>
        </w:rPr>
        <w:t>2025年11月-2027年11月大洋街道辖区公厕管护服务采购项目</w:t>
      </w:r>
      <w:r>
        <w:rPr>
          <w:rFonts w:hint="eastAsia"/>
          <w:color w:val="auto"/>
          <w:sz w:val="24"/>
          <w:szCs w:val="24"/>
          <w:highlight w:val="none"/>
          <w:lang w:val="en-US" w:eastAsia="zh-CN"/>
        </w:rPr>
        <w:t>。</w:t>
      </w:r>
      <w:r>
        <w:rPr>
          <w:rFonts w:hint="eastAsia" w:ascii="宋体" w:hAnsi="宋体" w:eastAsia="宋体" w:cs="宋体"/>
          <w:sz w:val="24"/>
          <w:lang w:eastAsia="zh-CN"/>
        </w:rPr>
        <w:t>2025年11月-2027年11月大洋街道辖区公厕管护服务采购项目</w:t>
      </w:r>
      <w:r>
        <w:rPr>
          <w:rFonts w:hint="eastAsia" w:ascii="宋体" w:hAnsi="宋体" w:eastAsia="宋体" w:cs="宋体"/>
          <w:sz w:val="24"/>
        </w:rPr>
        <w:t>。详细情况由投标人自行勘察现场</w:t>
      </w:r>
      <w:r>
        <w:rPr>
          <w:rFonts w:hint="eastAsia" w:asciiTheme="majorEastAsia" w:hAnsiTheme="majorEastAsia" w:eastAsiaTheme="majorEastAsia" w:cstheme="majorEastAsia"/>
          <w:color w:val="auto"/>
          <w:sz w:val="24"/>
          <w:szCs w:val="24"/>
          <w:highlight w:val="none"/>
          <w:lang w:val="en-US" w:eastAsia="zh-CN"/>
        </w:rPr>
        <w:t>。</w:t>
      </w:r>
      <w:r>
        <w:rPr>
          <w:rFonts w:hint="eastAsia" w:ascii="宋体" w:hAnsi="宋体" w:eastAsia="宋体" w:cs="宋体"/>
          <w:sz w:val="24"/>
        </w:rPr>
        <w:t>保洁人员（以经双方确认的花名册为准）</w:t>
      </w:r>
      <w:r>
        <w:rPr>
          <w:rFonts w:hint="eastAsia" w:ascii="宋体" w:hAnsi="宋体" w:eastAsia="宋体" w:cs="宋体"/>
          <w:sz w:val="24"/>
          <w:lang w:eastAsia="zh-CN"/>
        </w:rPr>
        <w:t>，</w:t>
      </w:r>
      <w:r>
        <w:rPr>
          <w:rFonts w:hint="eastAsia" w:ascii="宋体" w:hAnsi="宋体" w:eastAsia="宋体" w:cs="宋体"/>
          <w:sz w:val="24"/>
        </w:rPr>
        <w:t>期限届满，本协议即终止。</w:t>
      </w:r>
    </w:p>
    <w:p w14:paraId="6D886A89">
      <w:pPr>
        <w:widowControl/>
        <w:numPr>
          <w:ilvl w:val="0"/>
          <w:numId w:val="4"/>
        </w:numPr>
        <w:spacing w:line="520" w:lineRule="exact"/>
        <w:ind w:firstLine="480"/>
        <w:rPr>
          <w:rFonts w:hint="eastAsia"/>
          <w:b/>
          <w:bCs/>
          <w:color w:val="auto"/>
          <w:sz w:val="24"/>
          <w:szCs w:val="24"/>
          <w:highlight w:val="none"/>
        </w:rPr>
      </w:pPr>
      <w:r>
        <w:rPr>
          <w:rFonts w:hint="eastAsia"/>
          <w:b/>
          <w:bCs/>
          <w:color w:val="auto"/>
          <w:sz w:val="24"/>
          <w:szCs w:val="24"/>
          <w:highlight w:val="none"/>
        </w:rPr>
        <w:t>合同金额：</w:t>
      </w:r>
    </w:p>
    <w:p w14:paraId="069E198A">
      <w:pPr>
        <w:spacing w:line="480" w:lineRule="exact"/>
        <w:ind w:firstLine="480" w:firstLineChars="200"/>
        <w:jc w:val="left"/>
        <w:rPr>
          <w:rFonts w:hint="eastAsia" w:ascii="宋体" w:hAnsi="宋体" w:cs="宋体"/>
          <w:b/>
          <w:bCs/>
          <w:color w:val="auto"/>
          <w:sz w:val="24"/>
          <w:szCs w:val="24"/>
          <w:highlight w:val="none"/>
          <w:lang w:val="en-US" w:eastAsia="zh-CN"/>
        </w:rPr>
      </w:pPr>
      <w:r>
        <w:rPr>
          <w:rFonts w:hint="eastAsia" w:ascii="宋体" w:hAnsi="宋体" w:eastAsia="宋体" w:cs="宋体"/>
          <w:color w:val="auto"/>
          <w:sz w:val="24"/>
          <w:highlight w:val="none"/>
          <w:lang w:val="en-US" w:eastAsia="zh-CN"/>
        </w:rPr>
        <w:t>2.1</w:t>
      </w:r>
      <w:r>
        <w:rPr>
          <w:rFonts w:hint="eastAsia" w:ascii="宋体" w:hAnsi="宋体" w:cs="宋体"/>
          <w:color w:val="auto"/>
          <w:sz w:val="24"/>
          <w:highlight w:val="none"/>
        </w:rPr>
        <w:t>合同金额为：</w:t>
      </w:r>
      <w:r>
        <w:rPr>
          <w:rFonts w:hint="eastAsia" w:ascii="宋体" w:hAnsi="宋体" w:cs="宋体"/>
          <w:b/>
          <w:bCs/>
          <w:color w:val="auto"/>
          <w:sz w:val="24"/>
          <w:highlight w:val="none"/>
          <w:u w:val="single"/>
        </w:rPr>
        <w:t>人民币（大写）           元（￥：    元</w:t>
      </w:r>
      <w:r>
        <w:rPr>
          <w:rFonts w:hint="eastAsia" w:ascii="宋体" w:hAnsi="宋体" w:cs="宋体"/>
          <w:b/>
          <w:bCs/>
          <w:color w:val="auto"/>
          <w:sz w:val="24"/>
          <w:highlight w:val="none"/>
        </w:rPr>
        <w:t>）</w:t>
      </w:r>
    </w:p>
    <w:p w14:paraId="48400BE5">
      <w:pPr>
        <w:widowControl/>
        <w:spacing w:line="560" w:lineRule="exact"/>
        <w:ind w:firstLine="482" w:firstLineChars="200"/>
        <w:rPr>
          <w:rFonts w:eastAsia="Arial"/>
          <w:b/>
          <w:bCs/>
          <w:color w:val="auto"/>
          <w:sz w:val="24"/>
          <w:szCs w:val="20"/>
          <w:highlight w:val="none"/>
          <w:lang w:val="zh-CN"/>
        </w:rPr>
      </w:pPr>
      <w:r>
        <w:rPr>
          <w:rFonts w:hint="eastAsia" w:eastAsia="宋体"/>
          <w:b/>
          <w:bCs/>
          <w:color w:val="auto"/>
          <w:sz w:val="24"/>
          <w:szCs w:val="20"/>
          <w:highlight w:val="none"/>
          <w:lang w:val="en-US" w:eastAsia="zh-CN"/>
        </w:rPr>
        <w:t>三、</w:t>
      </w:r>
      <w:r>
        <w:rPr>
          <w:rFonts w:hint="eastAsia" w:eastAsia="Arial"/>
          <w:b/>
          <w:bCs/>
          <w:color w:val="auto"/>
          <w:sz w:val="24"/>
          <w:szCs w:val="20"/>
          <w:highlight w:val="none"/>
          <w:lang w:val="zh-CN"/>
        </w:rPr>
        <w:t xml:space="preserve"> 合同期限</w:t>
      </w:r>
    </w:p>
    <w:p w14:paraId="66567EFE">
      <w:pPr>
        <w:widowControl/>
        <w:spacing w:line="520" w:lineRule="exact"/>
        <w:ind w:firstLine="480" w:firstLineChars="200"/>
        <w:rPr>
          <w:rFonts w:hint="eastAsia"/>
          <w:color w:val="auto"/>
          <w:sz w:val="24"/>
          <w:szCs w:val="20"/>
          <w:highlight w:val="none"/>
        </w:rPr>
      </w:pPr>
      <w:r>
        <w:rPr>
          <w:rFonts w:hint="eastAsia"/>
          <w:color w:val="auto"/>
          <w:sz w:val="24"/>
          <w:szCs w:val="20"/>
          <w:highlight w:val="none"/>
        </w:rPr>
        <w:t>服务</w:t>
      </w:r>
      <w:r>
        <w:rPr>
          <w:rFonts w:hint="eastAsia" w:eastAsia="宋体"/>
          <w:color w:val="auto"/>
          <w:sz w:val="24"/>
          <w:szCs w:val="20"/>
          <w:highlight w:val="none"/>
          <w:lang w:val="en-US" w:eastAsia="zh-CN"/>
        </w:rPr>
        <w:t>期限</w:t>
      </w:r>
      <w:r>
        <w:rPr>
          <w:rFonts w:hint="eastAsia"/>
          <w:color w:val="auto"/>
          <w:sz w:val="24"/>
          <w:szCs w:val="20"/>
          <w:highlight w:val="none"/>
        </w:rPr>
        <w:t>：</w:t>
      </w:r>
      <w:r>
        <w:rPr>
          <w:rFonts w:hint="eastAsia" w:eastAsia="宋体"/>
          <w:color w:val="auto"/>
          <w:sz w:val="24"/>
          <w:szCs w:val="20"/>
          <w:highlight w:val="none"/>
          <w:lang w:val="en-US" w:eastAsia="zh-CN"/>
        </w:rPr>
        <w:t>贰年</w:t>
      </w:r>
      <w:r>
        <w:rPr>
          <w:rFonts w:hint="eastAsia"/>
          <w:color w:val="auto"/>
          <w:sz w:val="24"/>
          <w:szCs w:val="20"/>
          <w:highlight w:val="none"/>
        </w:rPr>
        <w:t>。自</w:t>
      </w:r>
      <w:r>
        <w:rPr>
          <w:rFonts w:hint="eastAsia"/>
          <w:color w:val="auto"/>
          <w:sz w:val="24"/>
          <w:szCs w:val="20"/>
          <w:highlight w:val="none"/>
          <w:u w:val="single"/>
        </w:rPr>
        <w:t xml:space="preserve">    </w:t>
      </w:r>
      <w:r>
        <w:rPr>
          <w:rFonts w:hint="eastAsia"/>
          <w:color w:val="auto"/>
          <w:sz w:val="24"/>
          <w:szCs w:val="20"/>
          <w:highlight w:val="none"/>
        </w:rPr>
        <w:t>年</w:t>
      </w:r>
      <w:r>
        <w:rPr>
          <w:rFonts w:hint="eastAsia"/>
          <w:color w:val="auto"/>
          <w:sz w:val="24"/>
          <w:szCs w:val="20"/>
          <w:highlight w:val="none"/>
          <w:u w:val="single"/>
        </w:rPr>
        <w:t xml:space="preserve">   </w:t>
      </w:r>
      <w:r>
        <w:rPr>
          <w:rFonts w:hint="eastAsia"/>
          <w:color w:val="auto"/>
          <w:sz w:val="24"/>
          <w:szCs w:val="20"/>
          <w:highlight w:val="none"/>
        </w:rPr>
        <w:t>月</w:t>
      </w:r>
      <w:r>
        <w:rPr>
          <w:rFonts w:hint="eastAsia"/>
          <w:color w:val="auto"/>
          <w:sz w:val="24"/>
          <w:szCs w:val="20"/>
          <w:highlight w:val="none"/>
          <w:u w:val="single"/>
        </w:rPr>
        <w:t xml:space="preserve">   </w:t>
      </w:r>
      <w:r>
        <w:rPr>
          <w:rFonts w:hint="eastAsia"/>
          <w:color w:val="auto"/>
          <w:sz w:val="24"/>
          <w:szCs w:val="20"/>
          <w:highlight w:val="none"/>
        </w:rPr>
        <w:t>日至</w:t>
      </w:r>
      <w:r>
        <w:rPr>
          <w:rFonts w:hint="eastAsia"/>
          <w:color w:val="auto"/>
          <w:sz w:val="24"/>
          <w:szCs w:val="20"/>
          <w:highlight w:val="none"/>
          <w:u w:val="single"/>
        </w:rPr>
        <w:t xml:space="preserve">    </w:t>
      </w:r>
      <w:r>
        <w:rPr>
          <w:rFonts w:hint="eastAsia"/>
          <w:color w:val="auto"/>
          <w:sz w:val="24"/>
          <w:szCs w:val="20"/>
          <w:highlight w:val="none"/>
        </w:rPr>
        <w:t>年</w:t>
      </w:r>
      <w:r>
        <w:rPr>
          <w:rFonts w:hint="eastAsia"/>
          <w:color w:val="auto"/>
          <w:sz w:val="24"/>
          <w:szCs w:val="20"/>
          <w:highlight w:val="none"/>
          <w:u w:val="single"/>
        </w:rPr>
        <w:t xml:space="preserve">   </w:t>
      </w:r>
      <w:r>
        <w:rPr>
          <w:rFonts w:hint="eastAsia"/>
          <w:color w:val="auto"/>
          <w:sz w:val="24"/>
          <w:szCs w:val="20"/>
          <w:highlight w:val="none"/>
        </w:rPr>
        <w:t>月</w:t>
      </w:r>
      <w:r>
        <w:rPr>
          <w:rFonts w:hint="eastAsia"/>
          <w:color w:val="auto"/>
          <w:sz w:val="24"/>
          <w:szCs w:val="20"/>
          <w:highlight w:val="none"/>
          <w:u w:val="single"/>
        </w:rPr>
        <w:t xml:space="preserve">   </w:t>
      </w:r>
      <w:r>
        <w:rPr>
          <w:rFonts w:hint="eastAsia"/>
          <w:color w:val="auto"/>
          <w:sz w:val="24"/>
          <w:szCs w:val="20"/>
          <w:highlight w:val="none"/>
        </w:rPr>
        <w:t>日止。</w:t>
      </w:r>
    </w:p>
    <w:p w14:paraId="5D1CD4A9">
      <w:pPr>
        <w:keepNext w:val="0"/>
        <w:keepLines w:val="0"/>
        <w:pageBreakBefore w:val="0"/>
        <w:widowControl w:val="0"/>
        <w:spacing w:line="500" w:lineRule="exact"/>
        <w:ind w:left="0" w:firstLine="482"/>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四、</w:t>
      </w:r>
      <w:r>
        <w:rPr>
          <w:rFonts w:hint="eastAsia" w:ascii="宋体" w:hAnsi="宋体" w:eastAsia="宋体" w:cs="Times New Roman"/>
          <w:b/>
          <w:bCs/>
          <w:color w:val="auto"/>
          <w:sz w:val="24"/>
          <w:szCs w:val="24"/>
          <w:highlight w:val="none"/>
        </w:rPr>
        <w:t xml:space="preserve"> 履约保证金</w:t>
      </w:r>
    </w:p>
    <w:p w14:paraId="183A8B5A">
      <w:pPr>
        <w:keepNext w:val="0"/>
        <w:keepLines w:val="0"/>
        <w:pageBreakBefore w:val="0"/>
        <w:widowControl w:val="0"/>
        <w:spacing w:line="500" w:lineRule="exact"/>
        <w:ind w:left="0" w:firstLine="480"/>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4.1、乙方交纳人民币_________元作为本合同的履约保证金。</w:t>
      </w:r>
    </w:p>
    <w:p w14:paraId="0D9E7678">
      <w:pPr>
        <w:keepNext w:val="0"/>
        <w:keepLines w:val="0"/>
        <w:pageBreakBefore w:val="0"/>
        <w:widowControl w:val="0"/>
        <w:spacing w:line="500" w:lineRule="exact"/>
        <w:ind w:left="0" w:firstLine="48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备注：不得超过合同金额的10%，甲方应当对AA评级及以上政府采购供应商（需提供信用管理部门备案的第三方信用报告，且信用报告通过“信用盐城网”可查实）降低履约保证金缴纳比例。（本项目约定合同金额的5%））</w:t>
      </w:r>
    </w:p>
    <w:p w14:paraId="54996393">
      <w:pPr>
        <w:keepNext w:val="0"/>
        <w:keepLines w:val="0"/>
        <w:pageBreakBefore w:val="0"/>
        <w:widowControl w:val="0"/>
        <w:spacing w:line="500" w:lineRule="exact"/>
        <w:ind w:left="0" w:firstLine="480"/>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4.2、确需收取履约保证金的，履约保证金的缴纳形式：</w:t>
      </w:r>
    </w:p>
    <w:p w14:paraId="7CD07908">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0A14F24">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4.2.2 如以履约保函（保险）形式缴纳履约保证金，供应商可通过政府采购电子履约保函（保险）平台（www.jsdzbh.com）在线申请履约保函（保险）。</w:t>
      </w:r>
    </w:p>
    <w:p w14:paraId="6093C631">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4.3合同履行结束后，甲方应及时退还交纳的履约保证金。</w:t>
      </w:r>
    </w:p>
    <w:p w14:paraId="1982F34F">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4.4、履约保证金的退还：</w:t>
      </w:r>
    </w:p>
    <w:p w14:paraId="45CDEC6B">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4.4.1方式：无息退还至投标人缴纳履约保证金的账户。如为保函，在到期时自行失效。</w:t>
      </w:r>
    </w:p>
    <w:p w14:paraId="7D9F10E4">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4.4.2时间：验收合格且采购人收到发票后30日内。</w:t>
      </w:r>
    </w:p>
    <w:p w14:paraId="4F04BE5B">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4.4.3条件：按合同要求全部履约完成并经采购人验收合格，且采购人收到中标人出具的发票。</w:t>
      </w:r>
    </w:p>
    <w:p w14:paraId="5732AC3A">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4.4.4不予退还情形：</w:t>
      </w:r>
    </w:p>
    <w:p w14:paraId="11E9E468">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除不可抗力情况外，投标人出现下列情形之一的，其履约保证金，招标人将视情节决定不予退还或部分不予退还。</w:t>
      </w:r>
    </w:p>
    <w:p w14:paraId="7E650A97">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（1）中标人无正当理由拒绝签订合同的，或者在签订合同时向采购人提出附加条件或者更改合同实质性内容要求的；</w:t>
      </w:r>
    </w:p>
    <w:p w14:paraId="3831B125">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（2）中标人不履行与采购人订立的合同的；</w:t>
      </w:r>
    </w:p>
    <w:p w14:paraId="2A1CFA51">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（3）中标人所供货物或服务不符合招标文件规定要求的；</w:t>
      </w:r>
    </w:p>
    <w:p w14:paraId="13D944B3">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（4）中标人采取欺骗、弄虚作假方式投标的或与其它投标人串通投标的；</w:t>
      </w:r>
    </w:p>
    <w:p w14:paraId="326C85D6">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（5）中标人将合同内容转包、违法分包的；</w:t>
      </w:r>
    </w:p>
    <w:p w14:paraId="6DF99CF3">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（6）中标人故意捏造事实或伪造证明材料，进行虚假恶意投诉或反映的。</w:t>
      </w:r>
    </w:p>
    <w:p w14:paraId="5EFF3064">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4.4.5逾期退还的违约责任：采购人逾期无故未退还履约保证金的，按中国人民银行同期贷款基准利率上浮20%后的利率支付超期资金占用费，但因供应商自身原因导致无法及时退还的除外。</w:t>
      </w:r>
    </w:p>
    <w:p w14:paraId="510D5F75">
      <w:pPr>
        <w:keepNext w:val="0"/>
        <w:keepLines w:val="0"/>
        <w:pageBreakBefore w:val="0"/>
        <w:widowControl w:val="0"/>
        <w:spacing w:line="500" w:lineRule="exact"/>
        <w:ind w:left="0" w:firstLine="482"/>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五、合同转包或分包</w:t>
      </w:r>
    </w:p>
    <w:p w14:paraId="3512542A">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5.1乙方不得将合同标的转包给他人履行。</w:t>
      </w:r>
    </w:p>
    <w:p w14:paraId="63AF1495">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5.2乙方不得将合同标的分包给他人履行。</w:t>
      </w:r>
    </w:p>
    <w:p w14:paraId="4D8EB95E">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5.3乙方如有转包或未经甲方同意的分包行为，甲方有权解除合同。</w:t>
      </w:r>
    </w:p>
    <w:p w14:paraId="0038DC25">
      <w:pPr>
        <w:widowControl/>
        <w:spacing w:line="560" w:lineRule="exact"/>
        <w:ind w:firstLine="480"/>
        <w:rPr>
          <w:rFonts w:hint="eastAsia" w:eastAsia="Arial"/>
          <w:b/>
          <w:bCs/>
          <w:color w:val="auto"/>
          <w:sz w:val="24"/>
          <w:szCs w:val="20"/>
          <w:highlight w:val="none"/>
          <w:lang w:val="zh-CN"/>
        </w:rPr>
      </w:pPr>
      <w:r>
        <w:rPr>
          <w:rFonts w:hint="eastAsia" w:eastAsia="Arial"/>
          <w:b/>
          <w:bCs/>
          <w:color w:val="auto"/>
          <w:sz w:val="24"/>
          <w:szCs w:val="20"/>
          <w:highlight w:val="none"/>
          <w:lang w:val="en-US" w:eastAsia="zh-CN"/>
        </w:rPr>
        <w:t>六、</w:t>
      </w:r>
      <w:r>
        <w:rPr>
          <w:rFonts w:hint="eastAsia" w:eastAsia="Arial"/>
          <w:b/>
          <w:bCs/>
          <w:color w:val="auto"/>
          <w:sz w:val="24"/>
          <w:szCs w:val="20"/>
          <w:highlight w:val="none"/>
          <w:lang w:val="zh-CN"/>
        </w:rPr>
        <w:t>支付方式：</w:t>
      </w:r>
    </w:p>
    <w:p w14:paraId="6DF773A1">
      <w:pPr>
        <w:spacing w:line="480" w:lineRule="exact"/>
        <w:ind w:firstLine="480" w:firstLineChars="20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6.1合同签订后，支付合同总价的30%预付款，剩余费用当年底根据考核结果结清。以上付款无任何利息补偿。</w:t>
      </w:r>
    </w:p>
    <w:p w14:paraId="3D39C9A0">
      <w:pPr>
        <w:spacing w:line="480" w:lineRule="exact"/>
        <w:ind w:firstLine="480" w:firstLineChars="20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6.2本合同约定服务费已包括为完成招标文件、采购需求的所有内容。不仅应包括厕所保洁所需水电费、下水道疏通费、下水道化粪池清掏清杂运输费、货物价格（含货物原价、手续费、运杂费、包装费、上下装卸费、采购保管费、备品备件等）、安装费、运输费（含上下货力资费）、吸粪费、公共厕所看护费、保洁机械设备工具用具费、各种材料费、各种保险费，所有人员的工资、加班费、社保、福利费、公众责任保险费、社会保险、住房公积金、残疾人保证金、高温费、体检费、工具费、工作服费用、职工带薪休假费用、合同期满后根据劳动法解除人员的经济补偿金、劳保用品费用，投标人拟投入本项目各类设施设备的折旧费、维修费等相关费用，还应包括：管理、劳务、培训、风险、税金、合理利润、评审费、采购代理服务费、不可预见费用及政策性文件规定等所需的全部费用的价格体现，凡漏项或少计均视为优惠，招标人不另行增加费用。各类风险包和政策性调整等风险已包括在投标报价中，最终结算时除合同约定调整外一律不予调整。</w:t>
      </w:r>
    </w:p>
    <w:p w14:paraId="65A3F076">
      <w:pPr>
        <w:spacing w:line="480" w:lineRule="exact"/>
        <w:ind w:firstLine="480" w:firstLineChars="20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6.3在达到约定的付款时间和条件时，乙方应提前向甲方提供付款明细并向甲方开具正规服务费发票,甲方应于乙方收到发票和付款明细后3日内审查，审查无误的按照约定向乙方支付，如乙方提交的付款明细及发票存在瑕疵的，则由乙方补足并重新提交审核，甲方的付款时间相应顺延并不承担任何违约责任。</w:t>
      </w:r>
    </w:p>
    <w:p w14:paraId="0DF36DAA">
      <w:pPr>
        <w:spacing w:line="500" w:lineRule="exact"/>
        <w:ind w:firstLine="482"/>
        <w:rPr>
          <w:rFonts w:ascii="宋体" w:hAnsi="宋体" w:eastAsia="宋体" w:cs="宋体"/>
          <w:b/>
          <w:bCs/>
          <w:sz w:val="24"/>
        </w:rPr>
      </w:pPr>
      <w:r>
        <w:rPr>
          <w:rFonts w:hint="eastAsia" w:ascii="宋体" w:hAnsi="宋体" w:eastAsia="宋体" w:cs="宋体"/>
          <w:b/>
          <w:bCs/>
          <w:sz w:val="24"/>
          <w:lang w:val="en-US" w:eastAsia="zh-CN"/>
        </w:rPr>
        <w:t>七</w:t>
      </w:r>
      <w:r>
        <w:rPr>
          <w:rFonts w:hint="eastAsia" w:ascii="宋体" w:hAnsi="宋体" w:eastAsia="宋体" w:cs="宋体"/>
          <w:b/>
          <w:bCs/>
          <w:sz w:val="24"/>
        </w:rPr>
        <w:t>、权利和义务</w:t>
      </w:r>
    </w:p>
    <w:p w14:paraId="0707F577">
      <w:pPr>
        <w:spacing w:line="500" w:lineRule="exact"/>
        <w:ind w:firstLine="482"/>
        <w:rPr>
          <w:rFonts w:ascii="宋体" w:hAnsi="宋体" w:eastAsia="宋体" w:cs="宋体"/>
          <w:b/>
          <w:bCs/>
          <w:sz w:val="24"/>
        </w:rPr>
      </w:pPr>
      <w:r>
        <w:rPr>
          <w:rFonts w:hint="eastAsia" w:ascii="宋体" w:hAnsi="宋体" w:eastAsia="宋体" w:cs="宋体"/>
          <w:b/>
          <w:bCs/>
          <w:sz w:val="24"/>
        </w:rPr>
        <w:t>7.1甲方权利和义务</w:t>
      </w:r>
    </w:p>
    <w:p w14:paraId="1B421016">
      <w:pPr>
        <w:spacing w:line="500" w:lineRule="exact"/>
        <w:ind w:firstLine="480"/>
        <w:rPr>
          <w:rFonts w:ascii="宋体" w:hAnsi="宋体" w:eastAsia="宋体" w:cs="宋体"/>
          <w:b/>
          <w:iCs/>
          <w:sz w:val="24"/>
        </w:rPr>
      </w:pPr>
      <w:r>
        <w:rPr>
          <w:rFonts w:hint="eastAsia" w:ascii="宋体" w:hAnsi="宋体" w:eastAsia="宋体" w:cs="宋体"/>
          <w:iCs/>
          <w:sz w:val="24"/>
        </w:rPr>
        <w:t>7.1.1甲方有权随时对乙方服务范围内的工作情况进行考核（按照《盐城市公共卫生间保洁管理考核暂行办法》及招标文件考核与管理的规定）。</w:t>
      </w:r>
    </w:p>
    <w:p w14:paraId="1D6688F0">
      <w:pPr>
        <w:spacing w:line="500" w:lineRule="exact"/>
        <w:ind w:firstLine="480"/>
        <w:rPr>
          <w:rFonts w:ascii="宋体" w:hAnsi="宋体" w:eastAsia="宋体" w:cs="宋体"/>
          <w:iCs/>
          <w:sz w:val="24"/>
        </w:rPr>
      </w:pPr>
      <w:r>
        <w:rPr>
          <w:rFonts w:hint="eastAsia" w:ascii="宋体" w:hAnsi="宋体" w:eastAsia="宋体" w:cs="宋体"/>
          <w:iCs/>
          <w:sz w:val="24"/>
        </w:rPr>
        <w:t>7.1.2</w:t>
      </w:r>
      <w:r>
        <w:rPr>
          <w:rFonts w:hint="eastAsia" w:ascii="宋体" w:hAnsi="宋体" w:eastAsia="宋体" w:cs="宋体"/>
          <w:sz w:val="24"/>
        </w:rPr>
        <w:t>甲方不允许乙方将本项目转包和分包给任何第三方，如发现乙方有转包和分包行为</w:t>
      </w:r>
      <w:r>
        <w:rPr>
          <w:rFonts w:hint="eastAsia" w:ascii="宋体" w:hAnsi="宋体" w:eastAsia="宋体" w:cs="宋体"/>
          <w:iCs/>
          <w:sz w:val="24"/>
        </w:rPr>
        <w:t>，甲方有权单方终止本合同。所交</w:t>
      </w:r>
      <w:r>
        <w:rPr>
          <w:rFonts w:hint="eastAsia" w:ascii="宋体" w:hAnsi="宋体" w:eastAsia="宋体" w:cs="宋体"/>
          <w:sz w:val="24"/>
        </w:rPr>
        <w:t>履约保证金作</w:t>
      </w:r>
      <w:r>
        <w:rPr>
          <w:rFonts w:hint="eastAsia" w:ascii="宋体" w:hAnsi="宋体" w:eastAsia="宋体" w:cs="宋体"/>
          <w:iCs/>
          <w:sz w:val="24"/>
        </w:rPr>
        <w:t>为违约金不予退还。</w:t>
      </w:r>
    </w:p>
    <w:p w14:paraId="548E948F">
      <w:pPr>
        <w:spacing w:line="500" w:lineRule="exact"/>
        <w:ind w:firstLine="480"/>
        <w:rPr>
          <w:rFonts w:ascii="宋体" w:hAnsi="宋体" w:eastAsia="宋体" w:cs="宋体"/>
          <w:iCs/>
          <w:sz w:val="24"/>
        </w:rPr>
      </w:pPr>
      <w:r>
        <w:rPr>
          <w:rFonts w:hint="eastAsia" w:ascii="宋体" w:hAnsi="宋体" w:eastAsia="宋体" w:cs="宋体"/>
          <w:iCs/>
          <w:sz w:val="24"/>
        </w:rPr>
        <w:t>7.1.3甲方有权安排乙方临时突击的保洁任务。</w:t>
      </w:r>
    </w:p>
    <w:p w14:paraId="6B0F5B80">
      <w:pPr>
        <w:pStyle w:val="22"/>
        <w:spacing w:line="500" w:lineRule="exact"/>
        <w:ind w:firstLine="564"/>
        <w:rPr>
          <w:rFonts w:hAnsi="宋体" w:eastAsia="宋体" w:cs="宋体"/>
          <w:iCs/>
          <w:sz w:val="24"/>
        </w:rPr>
      </w:pPr>
      <w:r>
        <w:rPr>
          <w:rFonts w:hint="eastAsia" w:hAnsi="宋体" w:eastAsia="宋体" w:cs="宋体"/>
          <w:iCs/>
          <w:sz w:val="24"/>
        </w:rPr>
        <w:t>7.1.4甲方负责乙方的业务指导、督查、考核，市区重大活动和节假日期间需环卫保障任务的，甲方应提前告知乙方保障计划和相关要求等。</w:t>
      </w:r>
    </w:p>
    <w:p w14:paraId="1A55B1F4">
      <w:pPr>
        <w:pStyle w:val="22"/>
        <w:spacing w:line="500" w:lineRule="exact"/>
        <w:ind w:firstLine="564"/>
        <w:rPr>
          <w:rFonts w:hAnsi="宋体" w:eastAsia="宋体" w:cs="宋体"/>
          <w:iCs/>
          <w:sz w:val="24"/>
        </w:rPr>
      </w:pPr>
      <w:r>
        <w:rPr>
          <w:rFonts w:hint="eastAsia" w:hAnsi="宋体" w:eastAsia="宋体" w:cs="宋体"/>
          <w:iCs/>
          <w:sz w:val="24"/>
        </w:rPr>
        <w:t>7.1.5、无正当理由（乙方违约、不按时完成</w:t>
      </w:r>
      <w:r>
        <w:rPr>
          <w:rFonts w:hint="eastAsia" w:hAnsi="宋体" w:eastAsia="宋体" w:cs="宋体"/>
          <w:sz w:val="24"/>
        </w:rPr>
        <w:t>公厕保洁及管护</w:t>
      </w:r>
      <w:r>
        <w:rPr>
          <w:rFonts w:hint="eastAsia" w:hAnsi="宋体" w:eastAsia="宋体" w:cs="宋体"/>
          <w:iCs/>
          <w:sz w:val="24"/>
        </w:rPr>
        <w:t>任务等），甲方不得超期或拖欠乙方的服务费用。</w:t>
      </w:r>
    </w:p>
    <w:p w14:paraId="77CEDE24">
      <w:pPr>
        <w:spacing w:line="500" w:lineRule="exact"/>
        <w:ind w:firstLine="482"/>
        <w:rPr>
          <w:rFonts w:ascii="宋体" w:hAnsi="宋体" w:eastAsia="宋体" w:cs="宋体"/>
          <w:b/>
          <w:bCs/>
          <w:sz w:val="24"/>
        </w:rPr>
      </w:pPr>
      <w:r>
        <w:rPr>
          <w:rFonts w:hint="eastAsia" w:ascii="宋体" w:hAnsi="宋体" w:eastAsia="宋体" w:cs="宋体"/>
          <w:b/>
          <w:bCs/>
          <w:sz w:val="24"/>
        </w:rPr>
        <w:t>7.2乙方权利和义务</w:t>
      </w:r>
    </w:p>
    <w:p w14:paraId="450BD465">
      <w:pPr>
        <w:spacing w:line="500" w:lineRule="exact"/>
        <w:ind w:firstLine="480"/>
        <w:rPr>
          <w:rFonts w:ascii="宋体" w:hAnsi="宋体" w:eastAsia="宋体" w:cs="宋体"/>
          <w:iCs/>
          <w:sz w:val="24"/>
        </w:rPr>
      </w:pPr>
      <w:r>
        <w:rPr>
          <w:rFonts w:hint="eastAsia" w:ascii="宋体" w:hAnsi="宋体" w:eastAsia="宋体" w:cs="宋体"/>
          <w:iCs/>
          <w:sz w:val="24"/>
        </w:rPr>
        <w:t>7.2.1乙方必须按公司化运作，必须遵守国家的法律法规并负责本公司人员的管理。</w:t>
      </w:r>
    </w:p>
    <w:p w14:paraId="2EA90973">
      <w:pPr>
        <w:spacing w:line="500" w:lineRule="exact"/>
        <w:ind w:firstLine="480"/>
        <w:rPr>
          <w:rFonts w:ascii="宋体" w:hAnsi="宋体" w:eastAsia="宋体" w:cs="宋体"/>
          <w:iCs/>
          <w:sz w:val="24"/>
        </w:rPr>
      </w:pPr>
      <w:r>
        <w:rPr>
          <w:rFonts w:hint="eastAsia" w:ascii="宋体" w:hAnsi="宋体" w:eastAsia="宋体" w:cs="宋体"/>
          <w:iCs/>
          <w:sz w:val="24"/>
        </w:rPr>
        <w:t>7.2.2乙方应遵守《劳动法》及相关法律法规的规定，若有违反，责任由乙方自行承担。</w:t>
      </w:r>
    </w:p>
    <w:p w14:paraId="5981EE57">
      <w:pPr>
        <w:spacing w:line="500" w:lineRule="exact"/>
        <w:ind w:firstLine="480"/>
        <w:rPr>
          <w:rFonts w:ascii="宋体" w:hAnsi="宋体" w:eastAsia="宋体" w:cs="宋体"/>
          <w:iCs/>
          <w:sz w:val="24"/>
        </w:rPr>
      </w:pPr>
      <w:r>
        <w:rPr>
          <w:rFonts w:hint="eastAsia" w:ascii="宋体" w:hAnsi="宋体" w:eastAsia="宋体" w:cs="宋体"/>
          <w:iCs/>
          <w:sz w:val="24"/>
        </w:rPr>
        <w:t>7.2.3乙方必须保证按照甲方确定的人员上班作业，按照甲方的规定按时发放工资、福利并为保洁人员按照规定办理相关保险。</w:t>
      </w:r>
    </w:p>
    <w:p w14:paraId="55AB63E2">
      <w:pPr>
        <w:spacing w:line="500" w:lineRule="exact"/>
        <w:ind w:firstLine="480"/>
        <w:rPr>
          <w:rFonts w:ascii="宋体" w:hAnsi="宋体" w:eastAsia="宋体" w:cs="宋体"/>
          <w:iCs/>
          <w:sz w:val="24"/>
        </w:rPr>
      </w:pPr>
      <w:r>
        <w:rPr>
          <w:rFonts w:hint="eastAsia" w:ascii="宋体" w:hAnsi="宋体" w:eastAsia="宋体" w:cs="宋体"/>
          <w:iCs/>
          <w:sz w:val="24"/>
        </w:rPr>
        <w:t>7.2.4全面负责人员的劳动安全教育、培训和管理，人员在上班时间内发生交通、工伤等意外事故，一切问题由乙方处理。</w:t>
      </w:r>
    </w:p>
    <w:p w14:paraId="1EA96DD1">
      <w:pPr>
        <w:spacing w:line="500" w:lineRule="exact"/>
        <w:ind w:firstLine="480"/>
        <w:rPr>
          <w:rFonts w:ascii="宋体" w:hAnsi="宋体" w:eastAsia="宋体" w:cs="宋体"/>
          <w:iCs/>
          <w:sz w:val="24"/>
        </w:rPr>
      </w:pPr>
      <w:r>
        <w:rPr>
          <w:rFonts w:hint="eastAsia" w:ascii="宋体" w:hAnsi="宋体" w:eastAsia="宋体" w:cs="宋体"/>
          <w:iCs/>
          <w:sz w:val="24"/>
        </w:rPr>
        <w:t>7.2.5乙方不得转包和分包所承包的范围，如乙方违反，甲方有权终止承包合同。</w:t>
      </w:r>
    </w:p>
    <w:p w14:paraId="09D0123E">
      <w:pPr>
        <w:spacing w:line="500" w:lineRule="exact"/>
        <w:ind w:firstLine="480"/>
        <w:rPr>
          <w:rFonts w:ascii="宋体" w:hAnsi="宋体" w:eastAsia="宋体" w:cs="宋体"/>
          <w:iCs/>
          <w:sz w:val="24"/>
        </w:rPr>
      </w:pPr>
      <w:r>
        <w:rPr>
          <w:rFonts w:hint="eastAsia" w:ascii="宋体" w:hAnsi="宋体" w:eastAsia="宋体" w:cs="宋体"/>
          <w:iCs/>
          <w:sz w:val="24"/>
        </w:rPr>
        <w:t>7.2.6乙方按招标文件的要求，配备相关作业设备。设备添置、使用、维护所产生的费用、安全问题等由乙方负责。</w:t>
      </w:r>
    </w:p>
    <w:p w14:paraId="77D0798B">
      <w:pPr>
        <w:spacing w:line="500" w:lineRule="exact"/>
        <w:ind w:firstLine="480"/>
        <w:rPr>
          <w:rFonts w:ascii="宋体" w:hAnsi="宋体" w:eastAsia="宋体" w:cs="宋体"/>
          <w:sz w:val="24"/>
        </w:rPr>
      </w:pPr>
      <w:r>
        <w:rPr>
          <w:rFonts w:hint="eastAsia" w:ascii="宋体" w:hAnsi="宋体" w:eastAsia="宋体" w:cs="宋体"/>
          <w:sz w:val="24"/>
        </w:rPr>
        <w:t>7.2.7 乙方必须在合同签订后10日内完成设备投入和人员聘用工作并达到能正常运行。如上述工作发生延迟，一个月内仍不能达到相关规范要求的，违反公司技术标书所承诺的各项制定的要求，甲方有权取消乙方承包资格，并由乙方承担违约责任。</w:t>
      </w:r>
    </w:p>
    <w:p w14:paraId="1545C9A6">
      <w:pPr>
        <w:spacing w:line="500" w:lineRule="exact"/>
        <w:ind w:firstLine="480"/>
        <w:rPr>
          <w:rFonts w:ascii="宋体" w:hAnsi="宋体" w:eastAsia="宋体" w:cs="宋体"/>
          <w:sz w:val="24"/>
        </w:rPr>
      </w:pPr>
      <w:r>
        <w:rPr>
          <w:rFonts w:hint="eastAsia" w:ascii="宋体" w:hAnsi="宋体" w:eastAsia="宋体" w:cs="宋体"/>
          <w:sz w:val="24"/>
        </w:rPr>
        <w:t>7.2.8 乙方必须按照甲方的业务指导和要求，按时保质保量完成垃圾清运任务，接受甲方对日常公厕保洁及管护工作的督查、质量考核，及时整改甲方提出的问题。</w:t>
      </w:r>
    </w:p>
    <w:p w14:paraId="2B9882A4">
      <w:pPr>
        <w:spacing w:line="500" w:lineRule="exact"/>
        <w:ind w:firstLine="480"/>
        <w:rPr>
          <w:rFonts w:ascii="宋体" w:hAnsi="宋体" w:eastAsia="宋体" w:cs="宋体"/>
          <w:iCs/>
          <w:sz w:val="24"/>
        </w:rPr>
      </w:pPr>
      <w:r>
        <w:rPr>
          <w:rFonts w:hint="eastAsia" w:ascii="宋体" w:hAnsi="宋体" w:eastAsia="宋体" w:cs="宋体"/>
          <w:iCs/>
          <w:sz w:val="24"/>
        </w:rPr>
        <w:t>7.2.9合同到期后，乙方添置的设备由乙方自行处理，甲方不承担任何费用和责任。</w:t>
      </w:r>
    </w:p>
    <w:p w14:paraId="054B34B6">
      <w:pPr>
        <w:spacing w:line="500" w:lineRule="exact"/>
        <w:ind w:firstLine="480"/>
        <w:rPr>
          <w:rFonts w:ascii="宋体" w:hAnsi="宋体" w:eastAsia="宋体" w:cs="宋体"/>
          <w:iCs/>
          <w:sz w:val="24"/>
        </w:rPr>
      </w:pPr>
      <w:r>
        <w:rPr>
          <w:rFonts w:hint="eastAsia" w:ascii="宋体" w:hAnsi="宋体" w:eastAsia="宋体" w:cs="宋体"/>
          <w:iCs/>
          <w:sz w:val="24"/>
        </w:rPr>
        <w:t>7.2.10乙方必须无条件服从甲方安排临时突击垃圾清运任务。</w:t>
      </w:r>
    </w:p>
    <w:p w14:paraId="4338BB55">
      <w:pPr>
        <w:spacing w:line="500" w:lineRule="exact"/>
        <w:ind w:firstLine="480"/>
        <w:rPr>
          <w:rFonts w:ascii="宋体" w:hAnsi="宋体" w:eastAsia="宋体" w:cs="宋体"/>
          <w:iCs/>
          <w:sz w:val="24"/>
        </w:rPr>
      </w:pPr>
      <w:r>
        <w:rPr>
          <w:rFonts w:hint="eastAsia" w:ascii="宋体" w:hAnsi="宋体" w:eastAsia="宋体" w:cs="宋体"/>
          <w:iCs/>
          <w:sz w:val="24"/>
        </w:rPr>
        <w:t>7.2.11乙方在合同期限内录用的人员，合同到期后由乙方负责。同时教育职工拾金不昧，捡到钱物上交。</w:t>
      </w:r>
    </w:p>
    <w:p w14:paraId="1B6253F1">
      <w:pPr>
        <w:spacing w:line="500" w:lineRule="exact"/>
        <w:ind w:firstLine="480"/>
        <w:rPr>
          <w:rFonts w:ascii="宋体" w:hAnsi="宋体" w:eastAsia="宋体" w:cs="宋体"/>
          <w:iCs/>
          <w:sz w:val="24"/>
        </w:rPr>
      </w:pPr>
      <w:r>
        <w:rPr>
          <w:rFonts w:hint="eastAsia" w:ascii="宋体" w:hAnsi="宋体" w:eastAsia="宋体" w:cs="宋体"/>
          <w:iCs/>
          <w:sz w:val="24"/>
        </w:rPr>
        <w:t>7.2.12保洁时间:5:30-22:30；公厕地面、蹲位、座便器等设备设施有脏污应立即清洗。</w:t>
      </w:r>
    </w:p>
    <w:p w14:paraId="04F92DB7">
      <w:pPr>
        <w:spacing w:line="500" w:lineRule="exact"/>
        <w:ind w:firstLine="482"/>
        <w:rPr>
          <w:rFonts w:ascii="宋体" w:hAnsi="宋体" w:eastAsia="宋体" w:cs="宋体"/>
          <w:b/>
          <w:iCs/>
          <w:sz w:val="24"/>
        </w:rPr>
      </w:pPr>
      <w:r>
        <w:rPr>
          <w:rFonts w:hint="eastAsia" w:ascii="宋体" w:hAnsi="宋体" w:eastAsia="宋体" w:cs="宋体"/>
          <w:b/>
          <w:iCs/>
          <w:sz w:val="24"/>
          <w:lang w:val="en-US" w:eastAsia="zh-CN"/>
        </w:rPr>
        <w:t>八</w:t>
      </w:r>
      <w:r>
        <w:rPr>
          <w:rFonts w:hint="eastAsia" w:ascii="宋体" w:hAnsi="宋体" w:eastAsia="宋体" w:cs="宋体"/>
          <w:b/>
          <w:iCs/>
          <w:sz w:val="24"/>
        </w:rPr>
        <w:t>、督查考核及奖惩</w:t>
      </w:r>
    </w:p>
    <w:p w14:paraId="109D4DA9">
      <w:pPr>
        <w:spacing w:line="500" w:lineRule="exact"/>
        <w:ind w:firstLine="480"/>
        <w:rPr>
          <w:rFonts w:ascii="宋体" w:hAnsi="宋体" w:eastAsia="宋体" w:cs="宋体"/>
          <w:b/>
          <w:iCs/>
          <w:sz w:val="24"/>
        </w:rPr>
      </w:pPr>
      <w:r>
        <w:rPr>
          <w:rFonts w:hint="eastAsia" w:ascii="宋体" w:hAnsi="宋体" w:eastAsia="宋体" w:cs="宋体"/>
          <w:iCs/>
          <w:sz w:val="24"/>
        </w:rPr>
        <w:t>8.1甲方按《</w:t>
      </w:r>
      <w:r>
        <w:rPr>
          <w:rFonts w:hint="eastAsia" w:ascii="宋体" w:hAnsi="宋体" w:eastAsia="宋体" w:cs="宋体"/>
          <w:b/>
          <w:iCs/>
          <w:sz w:val="24"/>
        </w:rPr>
        <w:t>盐城市公共卫生间保洁管理考核暂行办法</w:t>
      </w:r>
      <w:r>
        <w:rPr>
          <w:rFonts w:hint="eastAsia" w:ascii="宋体" w:hAnsi="宋体" w:eastAsia="宋体" w:cs="宋体"/>
          <w:iCs/>
          <w:sz w:val="24"/>
        </w:rPr>
        <w:t>》对乙方进行督查考核，考核结果与乙方经费挂钩。</w:t>
      </w:r>
    </w:p>
    <w:p w14:paraId="784FFB58">
      <w:pPr>
        <w:spacing w:line="500" w:lineRule="exact"/>
        <w:ind w:firstLine="482"/>
        <w:rPr>
          <w:rFonts w:ascii="宋体" w:hAnsi="宋体" w:eastAsia="宋体" w:cs="宋体"/>
          <w:b/>
          <w:iCs/>
          <w:sz w:val="24"/>
        </w:rPr>
      </w:pPr>
      <w:r>
        <w:rPr>
          <w:rFonts w:hint="eastAsia" w:ascii="宋体" w:hAnsi="宋体" w:eastAsia="宋体" w:cs="宋体"/>
          <w:b/>
          <w:iCs/>
          <w:sz w:val="24"/>
          <w:lang w:val="en-US" w:eastAsia="zh-CN"/>
        </w:rPr>
        <w:t>九</w:t>
      </w:r>
      <w:r>
        <w:rPr>
          <w:rFonts w:hint="eastAsia" w:ascii="宋体" w:hAnsi="宋体" w:eastAsia="宋体" w:cs="宋体"/>
          <w:b/>
          <w:iCs/>
          <w:sz w:val="24"/>
        </w:rPr>
        <w:t>、违约责任</w:t>
      </w:r>
    </w:p>
    <w:p w14:paraId="215C58AB">
      <w:pPr>
        <w:spacing w:line="500" w:lineRule="exact"/>
        <w:ind w:firstLine="480"/>
        <w:rPr>
          <w:rFonts w:ascii="宋体" w:hAnsi="宋体" w:eastAsia="宋体" w:cs="宋体"/>
          <w:iCs/>
          <w:sz w:val="24"/>
        </w:rPr>
      </w:pPr>
      <w:r>
        <w:rPr>
          <w:rFonts w:hint="eastAsia" w:ascii="宋体" w:hAnsi="宋体" w:eastAsia="宋体" w:cs="宋体"/>
          <w:iCs/>
          <w:sz w:val="24"/>
        </w:rPr>
        <w:t>9.1乙方不服从甲方管理，甲方有权终止合同。</w:t>
      </w:r>
    </w:p>
    <w:p w14:paraId="05A4061A">
      <w:pPr>
        <w:spacing w:line="500" w:lineRule="exact"/>
        <w:ind w:firstLine="360"/>
        <w:rPr>
          <w:rFonts w:ascii="宋体" w:hAnsi="宋体" w:eastAsia="宋体" w:cs="宋体"/>
          <w:iCs/>
          <w:sz w:val="24"/>
        </w:rPr>
      </w:pPr>
      <w:r>
        <w:rPr>
          <w:rFonts w:hint="eastAsia" w:ascii="宋体" w:hAnsi="宋体" w:eastAsia="宋体" w:cs="宋体"/>
          <w:iCs/>
          <w:sz w:val="24"/>
        </w:rPr>
        <w:t xml:space="preserve"> 9.2乙方擅自转包和分包的，甲方有权终止合同。</w:t>
      </w:r>
    </w:p>
    <w:p w14:paraId="7224B5D1">
      <w:pPr>
        <w:spacing w:line="500" w:lineRule="exact"/>
        <w:ind w:firstLine="480"/>
        <w:rPr>
          <w:rFonts w:ascii="宋体" w:hAnsi="宋体" w:eastAsia="宋体" w:cs="宋体"/>
          <w:iCs/>
          <w:sz w:val="24"/>
        </w:rPr>
      </w:pPr>
      <w:r>
        <w:rPr>
          <w:rFonts w:hint="eastAsia" w:ascii="宋体" w:hAnsi="宋体" w:eastAsia="宋体" w:cs="宋体"/>
          <w:iCs/>
          <w:sz w:val="24"/>
        </w:rPr>
        <w:t>9.3甲方督查发现乙方未按照规定时间实施的，每发现一次扣罚500元并立即整改到位（除车辆年审、维修、保养）。</w:t>
      </w:r>
    </w:p>
    <w:p w14:paraId="35FB539B">
      <w:pPr>
        <w:spacing w:line="500" w:lineRule="exact"/>
        <w:ind w:firstLine="480"/>
        <w:rPr>
          <w:rFonts w:ascii="宋体" w:hAnsi="宋体" w:eastAsia="宋体" w:cs="宋体"/>
          <w:iCs/>
          <w:sz w:val="24"/>
        </w:rPr>
      </w:pPr>
      <w:r>
        <w:rPr>
          <w:rFonts w:hint="eastAsia" w:ascii="宋体" w:hAnsi="宋体" w:eastAsia="宋体" w:cs="宋体"/>
          <w:iCs/>
          <w:sz w:val="24"/>
        </w:rPr>
        <w:t>9.4乙方在用工等方面如违反《劳动法》及相关规定，甲方有权终止本合同。</w:t>
      </w:r>
    </w:p>
    <w:p w14:paraId="5D9EABBB">
      <w:pPr>
        <w:spacing w:line="500" w:lineRule="exact"/>
        <w:rPr>
          <w:rFonts w:ascii="宋体" w:hAnsi="宋体" w:eastAsia="宋体" w:cs="宋体"/>
          <w:iCs/>
          <w:sz w:val="24"/>
        </w:rPr>
      </w:pPr>
      <w:r>
        <w:rPr>
          <w:rFonts w:hint="eastAsia" w:ascii="宋体" w:hAnsi="宋体" w:eastAsia="宋体" w:cs="宋体"/>
          <w:iCs/>
          <w:sz w:val="24"/>
        </w:rPr>
        <w:t xml:space="preserve">   （1）乙方不按照规定发放工资、福利、缴纳保险等，甲方有权在乙方当月经费中扣除相关费用补发给当事人，同时乙方向甲方支付相关费用的200%的违约金；</w:t>
      </w:r>
    </w:p>
    <w:p w14:paraId="70C98A99">
      <w:pPr>
        <w:spacing w:line="500" w:lineRule="exact"/>
        <w:rPr>
          <w:rFonts w:ascii="宋体" w:hAnsi="宋体" w:eastAsia="宋体" w:cs="宋体"/>
          <w:iCs/>
          <w:sz w:val="24"/>
        </w:rPr>
      </w:pPr>
      <w:r>
        <w:rPr>
          <w:rFonts w:hint="eastAsia" w:ascii="宋体" w:hAnsi="宋体" w:eastAsia="宋体" w:cs="宋体"/>
          <w:iCs/>
          <w:sz w:val="24"/>
        </w:rPr>
        <w:t xml:space="preserve">   （2）因上班期间发生的交通安全、工伤等意外事故，乙方未按照有关规定处理，引起矛盾的由乙方承担，在经费中扣除相关费用，同时乙方向甲方支付相关费用的200%的违约金；</w:t>
      </w:r>
    </w:p>
    <w:p w14:paraId="7E69DC5C">
      <w:pPr>
        <w:spacing w:line="500" w:lineRule="exact"/>
        <w:rPr>
          <w:rFonts w:ascii="宋体" w:hAnsi="宋体" w:eastAsia="宋体" w:cs="宋体"/>
          <w:iCs/>
          <w:sz w:val="24"/>
        </w:rPr>
      </w:pPr>
      <w:r>
        <w:rPr>
          <w:rFonts w:hint="eastAsia" w:ascii="宋体" w:hAnsi="宋体" w:eastAsia="宋体" w:cs="宋体"/>
          <w:iCs/>
          <w:sz w:val="24"/>
        </w:rPr>
        <w:t xml:space="preserve">   （3）因乙方管理不到位，引起集访、群访事件，乙方向甲方支付5000元/次的违约金。</w:t>
      </w:r>
    </w:p>
    <w:p w14:paraId="28BFFEEA">
      <w:pPr>
        <w:spacing w:line="500" w:lineRule="exact"/>
        <w:ind w:firstLine="480"/>
        <w:rPr>
          <w:rFonts w:ascii="宋体" w:hAnsi="宋体" w:eastAsia="宋体" w:cs="宋体"/>
          <w:iCs/>
          <w:sz w:val="24"/>
        </w:rPr>
      </w:pPr>
      <w:r>
        <w:rPr>
          <w:rFonts w:hint="eastAsia" w:ascii="宋体" w:hAnsi="宋体" w:eastAsia="宋体" w:cs="宋体"/>
          <w:iCs/>
          <w:sz w:val="24"/>
        </w:rPr>
        <w:t>9.5甲方或乙方如有其他违约，应按《中华人民共和国民法典》承担其违约责任，赔偿因其违约给对方造成的损失。</w:t>
      </w:r>
    </w:p>
    <w:p w14:paraId="5D3B412F">
      <w:pPr>
        <w:spacing w:line="500" w:lineRule="exact"/>
        <w:ind w:firstLine="480"/>
        <w:rPr>
          <w:rFonts w:hint="eastAsia" w:ascii="宋体" w:hAnsi="宋体" w:eastAsia="宋体" w:cs="宋体"/>
          <w:iCs/>
          <w:sz w:val="24"/>
        </w:rPr>
      </w:pPr>
      <w:r>
        <w:rPr>
          <w:rFonts w:hint="eastAsia" w:ascii="宋体" w:hAnsi="宋体" w:eastAsia="宋体" w:cs="宋体"/>
          <w:iCs/>
          <w:sz w:val="24"/>
        </w:rPr>
        <w:t>9.6如果乙方违约。应承担甲方为依法维权支出的包括但不限于诉讼费、财产保全费、财产保全保险费、律师代理费等在内的各项费用。</w:t>
      </w:r>
    </w:p>
    <w:p w14:paraId="0303B0ED">
      <w:pPr>
        <w:spacing w:line="500" w:lineRule="exact"/>
        <w:ind w:firstLine="482"/>
        <w:rPr>
          <w:rFonts w:ascii="宋体" w:hAnsi="宋体" w:eastAsia="宋体" w:cs="宋体"/>
          <w:b/>
          <w:iCs/>
          <w:sz w:val="24"/>
        </w:rPr>
      </w:pPr>
      <w:r>
        <w:rPr>
          <w:rFonts w:hint="eastAsia" w:ascii="宋体" w:hAnsi="宋体" w:eastAsia="宋体" w:cs="宋体"/>
          <w:b/>
          <w:iCs/>
          <w:sz w:val="24"/>
          <w:lang w:val="en-US" w:eastAsia="zh-CN"/>
        </w:rPr>
        <w:t>十</w:t>
      </w:r>
      <w:r>
        <w:rPr>
          <w:rFonts w:hint="eastAsia" w:ascii="宋体" w:hAnsi="宋体" w:eastAsia="宋体" w:cs="宋体"/>
          <w:b/>
          <w:iCs/>
          <w:sz w:val="24"/>
        </w:rPr>
        <w:t>、安全责任</w:t>
      </w:r>
    </w:p>
    <w:p w14:paraId="71367AD2">
      <w:pPr>
        <w:spacing w:line="500" w:lineRule="exact"/>
        <w:ind w:firstLine="480"/>
        <w:rPr>
          <w:rFonts w:ascii="宋体" w:hAnsi="宋体" w:eastAsia="宋体" w:cs="宋体"/>
          <w:iCs/>
          <w:sz w:val="24"/>
        </w:rPr>
      </w:pPr>
      <w:r>
        <w:rPr>
          <w:rFonts w:hint="eastAsia" w:ascii="宋体" w:hAnsi="宋体" w:eastAsia="宋体" w:cs="宋体"/>
          <w:iCs/>
          <w:sz w:val="24"/>
        </w:rPr>
        <w:t>10.1乙方应做好公司内部管理，加强安全生产教育。每月必须进行一次安全教育宣传、会议、检查，并建立台账备查。</w:t>
      </w:r>
    </w:p>
    <w:p w14:paraId="54DA9FBB">
      <w:pPr>
        <w:spacing w:line="500" w:lineRule="exact"/>
        <w:ind w:firstLine="480"/>
        <w:rPr>
          <w:rFonts w:ascii="宋体" w:hAnsi="宋体" w:eastAsia="宋体" w:cs="宋体"/>
          <w:iCs/>
          <w:sz w:val="24"/>
        </w:rPr>
      </w:pPr>
      <w:r>
        <w:rPr>
          <w:rFonts w:hint="eastAsia" w:ascii="宋体" w:hAnsi="宋体" w:eastAsia="宋体" w:cs="宋体"/>
          <w:iCs/>
          <w:sz w:val="24"/>
        </w:rPr>
        <w:t>10.2乙方必须与职工签定安全责任书。如出现安全事故，责任由乙方（承担）处理，与甲方无关。</w:t>
      </w:r>
    </w:p>
    <w:p w14:paraId="155C79D0">
      <w:pPr>
        <w:spacing w:line="500" w:lineRule="exact"/>
        <w:ind w:firstLine="480"/>
        <w:rPr>
          <w:rFonts w:hint="eastAsia" w:ascii="宋体" w:hAnsi="宋体" w:eastAsia="宋体" w:cs="宋体"/>
          <w:iCs/>
          <w:sz w:val="24"/>
        </w:rPr>
      </w:pPr>
      <w:r>
        <w:rPr>
          <w:rFonts w:hint="eastAsia" w:ascii="宋体" w:hAnsi="宋体" w:eastAsia="宋体" w:cs="宋体"/>
          <w:iCs/>
          <w:sz w:val="24"/>
        </w:rPr>
        <w:t>10.3如在督查考核中发现每月未进行一次安全教育宣传、会议、检查、签定安全责任书、建立台账的扣100元。引起安全事故，责任由乙方（承担）处理。情节严重的造成恶历影响的终止合同。</w:t>
      </w:r>
    </w:p>
    <w:p w14:paraId="7708EACE">
      <w:pPr>
        <w:spacing w:line="480" w:lineRule="exact"/>
        <w:ind w:firstLine="482" w:firstLineChars="200"/>
        <w:jc w:val="lef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十一、税费</w:t>
      </w:r>
    </w:p>
    <w:p w14:paraId="4358E4A8">
      <w:pPr>
        <w:pStyle w:val="36"/>
        <w:spacing w:before="145" w:beforeAutospacing="0" w:after="145"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11</w:t>
      </w:r>
      <w:r>
        <w:rPr>
          <w:rFonts w:hint="eastAsia" w:ascii="宋体" w:hAnsi="宋体" w:eastAsia="宋体" w:cs="宋体"/>
          <w:color w:val="auto"/>
          <w:highlight w:val="none"/>
        </w:rPr>
        <w:t>.1本合同执行中相关的一切税费均由乙方负担。</w:t>
      </w:r>
    </w:p>
    <w:p w14:paraId="00D18586">
      <w:pPr>
        <w:spacing w:line="500" w:lineRule="exact"/>
        <w:ind w:firstLine="482"/>
        <w:rPr>
          <w:rFonts w:ascii="宋体" w:hAnsi="宋体" w:eastAsia="宋体" w:cs="宋体"/>
          <w:b/>
          <w:bCs/>
          <w:sz w:val="24"/>
        </w:rPr>
      </w:pPr>
      <w:r>
        <w:rPr>
          <w:rFonts w:hint="eastAsia" w:ascii="宋体" w:hAnsi="宋体" w:eastAsia="宋体" w:cs="宋体"/>
          <w:b/>
          <w:bCs/>
          <w:sz w:val="24"/>
          <w:lang w:val="en-US" w:eastAsia="zh-CN"/>
        </w:rPr>
        <w:t>十二</w:t>
      </w:r>
      <w:r>
        <w:rPr>
          <w:rFonts w:hint="eastAsia" w:ascii="宋体" w:hAnsi="宋体" w:eastAsia="宋体" w:cs="宋体"/>
          <w:b/>
          <w:bCs/>
          <w:sz w:val="24"/>
        </w:rPr>
        <w:t>、其他</w:t>
      </w:r>
    </w:p>
    <w:p w14:paraId="7A0E51F2">
      <w:pPr>
        <w:spacing w:line="500" w:lineRule="exact"/>
        <w:ind w:firstLine="480"/>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2</w:t>
      </w:r>
      <w:r>
        <w:rPr>
          <w:rFonts w:hint="eastAsia" w:ascii="宋体" w:hAnsi="宋体" w:eastAsia="宋体" w:cs="宋体"/>
          <w:sz w:val="24"/>
        </w:rPr>
        <w:t>.1 垃圾清运达到《盐城市城市环境卫生作业服务质量标准》及考核要求。采购人所有费用待考核结束后，根据上级部门资金拨付情况按实支付。</w:t>
      </w:r>
    </w:p>
    <w:p w14:paraId="207C84B4">
      <w:pPr>
        <w:tabs>
          <w:tab w:val="left" w:pos="632"/>
          <w:tab w:val="left" w:pos="2828"/>
        </w:tabs>
        <w:spacing w:line="500" w:lineRule="exact"/>
        <w:ind w:firstLine="480"/>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2</w:t>
      </w:r>
      <w:r>
        <w:rPr>
          <w:rFonts w:hint="eastAsia" w:ascii="宋体" w:hAnsi="宋体" w:eastAsia="宋体" w:cs="宋体"/>
          <w:sz w:val="24"/>
        </w:rPr>
        <w:t>.2乙方自行协调解决本项目实施过程中发生的各种矛盾，甲方不承担任何费用和责任；乙方已到项目现场踏勘以充分了解项目位置、情况及任何其他影响承包价的情况，任何因忽视或误解项目情况而导致的索赔申请不被批准。</w:t>
      </w:r>
    </w:p>
    <w:p w14:paraId="1E40D9E4">
      <w:pPr>
        <w:tabs>
          <w:tab w:val="left" w:pos="632"/>
          <w:tab w:val="left" w:pos="2828"/>
        </w:tabs>
        <w:spacing w:line="500" w:lineRule="exact"/>
        <w:ind w:firstLine="480"/>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2</w:t>
      </w:r>
      <w:r>
        <w:rPr>
          <w:rFonts w:hint="eastAsia" w:ascii="宋体" w:hAnsi="宋体" w:eastAsia="宋体" w:cs="宋体"/>
          <w:sz w:val="24"/>
        </w:rPr>
        <w:t>.3 乙方按合同约定支付保洁人员工资、岗位津贴、福利、节假日加班费等费用，如因乙方未按规定发放相关费用，引起投诉上访等不安定因素，甲方有权在保洁服务费中直接代为支付，并扣罚代为支出费用的2倍，在总保洁服务费中扣除。</w:t>
      </w:r>
    </w:p>
    <w:p w14:paraId="4480044B">
      <w:pPr>
        <w:tabs>
          <w:tab w:val="left" w:pos="632"/>
          <w:tab w:val="left" w:pos="2828"/>
        </w:tabs>
        <w:spacing w:line="500" w:lineRule="exact"/>
        <w:ind w:firstLine="480"/>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2</w:t>
      </w:r>
      <w:r>
        <w:rPr>
          <w:rFonts w:hint="eastAsia" w:ascii="宋体" w:hAnsi="宋体" w:eastAsia="宋体" w:cs="宋体"/>
          <w:sz w:val="24"/>
        </w:rPr>
        <w:t>.4 招标文件和投标文件作为本合同的组成部分。</w:t>
      </w:r>
    </w:p>
    <w:p w14:paraId="6938D391">
      <w:pPr>
        <w:tabs>
          <w:tab w:val="left" w:pos="632"/>
          <w:tab w:val="left" w:pos="2828"/>
        </w:tabs>
        <w:spacing w:line="500" w:lineRule="exact"/>
        <w:ind w:firstLine="480"/>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2</w:t>
      </w:r>
      <w:r>
        <w:rPr>
          <w:rFonts w:hint="eastAsia" w:ascii="宋体" w:hAnsi="宋体" w:eastAsia="宋体" w:cs="宋体"/>
          <w:sz w:val="24"/>
        </w:rPr>
        <w:t>.5合同修改：欲对合同条款进行任何改动，均须由甲、乙双方签署书面的合同修改书。</w:t>
      </w:r>
    </w:p>
    <w:p w14:paraId="69029A74">
      <w:pPr>
        <w:tabs>
          <w:tab w:val="left" w:pos="632"/>
          <w:tab w:val="left" w:pos="2828"/>
        </w:tabs>
        <w:spacing w:line="500" w:lineRule="exact"/>
        <w:ind w:firstLine="480"/>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2</w:t>
      </w:r>
      <w:r>
        <w:rPr>
          <w:rFonts w:hint="eastAsia" w:ascii="宋体" w:hAnsi="宋体" w:eastAsia="宋体" w:cs="宋体"/>
          <w:sz w:val="24"/>
        </w:rPr>
        <w:t>.6 合同生效及其他：</w:t>
      </w:r>
    </w:p>
    <w:p w14:paraId="1F490A38">
      <w:pPr>
        <w:tabs>
          <w:tab w:val="left" w:pos="632"/>
          <w:tab w:val="left" w:pos="2828"/>
        </w:tabs>
        <w:spacing w:line="500" w:lineRule="exact"/>
        <w:ind w:firstLine="480"/>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2</w:t>
      </w:r>
      <w:r>
        <w:rPr>
          <w:rFonts w:hint="eastAsia" w:ascii="宋体" w:hAnsi="宋体" w:eastAsia="宋体" w:cs="宋体"/>
          <w:sz w:val="24"/>
        </w:rPr>
        <w:t>.6.1 本合同壹式捌份，以中文书写，甲、乙双方各执肆份，经甲、乙双方签字盖章后生效。</w:t>
      </w:r>
    </w:p>
    <w:p w14:paraId="75CAA8A0">
      <w:pPr>
        <w:tabs>
          <w:tab w:val="left" w:pos="632"/>
          <w:tab w:val="left" w:pos="2828"/>
        </w:tabs>
        <w:spacing w:line="500" w:lineRule="exact"/>
        <w:ind w:firstLine="480"/>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2</w:t>
      </w:r>
      <w:r>
        <w:rPr>
          <w:rFonts w:hint="eastAsia" w:ascii="宋体" w:hAnsi="宋体" w:eastAsia="宋体" w:cs="宋体"/>
          <w:sz w:val="24"/>
        </w:rPr>
        <w:t>.6.2 如需补充合同内容，经协商，甲、乙双方应签署书面补充合同协议，该协议将作为本合同的一个组成部分。</w:t>
      </w:r>
    </w:p>
    <w:p w14:paraId="550F24DD">
      <w:pPr>
        <w:tabs>
          <w:tab w:val="left" w:pos="632"/>
          <w:tab w:val="left" w:pos="2828"/>
        </w:tabs>
        <w:spacing w:line="500" w:lineRule="exact"/>
        <w:ind w:firstLine="480"/>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2</w:t>
      </w:r>
      <w:r>
        <w:rPr>
          <w:rFonts w:hint="eastAsia" w:ascii="宋体" w:hAnsi="宋体" w:eastAsia="宋体" w:cs="宋体"/>
          <w:sz w:val="24"/>
        </w:rPr>
        <w:t>.6.4如乙方在服务期间内，服务质量达到本合同约定的各项要求，甲方则可考虑与乙方续签服务合同。</w:t>
      </w:r>
    </w:p>
    <w:p w14:paraId="446D8AFC">
      <w:pPr>
        <w:spacing w:line="500" w:lineRule="exact"/>
        <w:ind w:firstLine="480"/>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2</w:t>
      </w:r>
      <w:r>
        <w:rPr>
          <w:rFonts w:hint="eastAsia" w:ascii="宋体" w:hAnsi="宋体" w:eastAsia="宋体" w:cs="宋体"/>
          <w:sz w:val="24"/>
        </w:rPr>
        <w:t>.6.5 合同未尽事宜，按《中华人民共和国民法典》和国家其他相关法律法规的有关规定及甲、乙双方协商解决。</w:t>
      </w:r>
    </w:p>
    <w:p w14:paraId="42F81122">
      <w:pPr>
        <w:spacing w:line="500" w:lineRule="exact"/>
        <w:rPr>
          <w:rFonts w:ascii="宋体" w:hAnsi="宋体" w:eastAsia="宋体" w:cs="宋体"/>
          <w:sz w:val="24"/>
        </w:rPr>
      </w:pPr>
      <w:r>
        <w:rPr>
          <w:rFonts w:hint="eastAsia" w:ascii="宋体" w:hAnsi="宋体" w:eastAsia="宋体" w:cs="宋体"/>
          <w:sz w:val="24"/>
        </w:rPr>
        <w:t>附：</w:t>
      </w:r>
    </w:p>
    <w:p w14:paraId="074479A1">
      <w:pPr>
        <w:spacing w:line="500" w:lineRule="exact"/>
        <w:ind w:firstLine="480"/>
        <w:rPr>
          <w:rFonts w:ascii="宋体" w:hAnsi="宋体" w:eastAsia="宋体" w:cs="宋体"/>
          <w:sz w:val="24"/>
        </w:rPr>
      </w:pPr>
      <w:r>
        <w:rPr>
          <w:rFonts w:hint="eastAsia" w:ascii="宋体" w:hAnsi="宋体" w:eastAsia="宋体" w:cs="宋体"/>
          <w:sz w:val="24"/>
        </w:rPr>
        <w:t>1、盐城市公共卫生间保洁管理考核暂行办法（详见：附件1）</w:t>
      </w:r>
    </w:p>
    <w:p w14:paraId="29DBA2E4">
      <w:pPr>
        <w:spacing w:line="480" w:lineRule="exact"/>
        <w:ind w:firstLine="480" w:firstLineChars="200"/>
        <w:jc w:val="left"/>
        <w:rPr>
          <w:rFonts w:hint="eastAsia" w:ascii="宋体" w:hAnsi="宋体" w:cs="宋体"/>
          <w:color w:val="auto"/>
          <w:sz w:val="24"/>
          <w:highlight w:val="none"/>
        </w:rPr>
      </w:pPr>
    </w:p>
    <w:p w14:paraId="0AD7C213">
      <w:pPr>
        <w:spacing w:line="480" w:lineRule="exact"/>
        <w:jc w:val="left"/>
        <w:rPr>
          <w:rFonts w:hint="eastAsia" w:ascii="宋体" w:hAnsi="宋体" w:cs="宋体"/>
          <w:color w:val="auto"/>
          <w:sz w:val="24"/>
          <w:highlight w:val="none"/>
        </w:rPr>
      </w:pPr>
    </w:p>
    <w:p w14:paraId="622CDCA3">
      <w:pPr>
        <w:spacing w:line="48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甲 方（盖章）：                            乙 方（盖章）：</w:t>
      </w:r>
    </w:p>
    <w:p w14:paraId="0A17B160">
      <w:pPr>
        <w:spacing w:line="48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法定代表人                                 法定代表人</w:t>
      </w:r>
    </w:p>
    <w:p w14:paraId="2A6AE8BF">
      <w:pPr>
        <w:spacing w:line="48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或授权代表（签字并盖章）：                 或授权代表（签字并盖章）：</w:t>
      </w:r>
    </w:p>
    <w:p w14:paraId="6A71C37F">
      <w:pPr>
        <w:spacing w:line="48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联系电话：                                 联系电话：</w:t>
      </w:r>
    </w:p>
    <w:p w14:paraId="21EED807">
      <w:pPr>
        <w:spacing w:line="480" w:lineRule="exact"/>
        <w:ind w:left="2" w:leftChars="1" w:firstLine="475" w:firstLineChars="198"/>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40A81A3C">
      <w:pPr>
        <w:spacing w:line="480" w:lineRule="exact"/>
        <w:ind w:left="2" w:leftChars="1" w:firstLine="1675" w:firstLineChars="698"/>
        <w:rPr>
          <w:rFonts w:hint="eastAsia" w:ascii="宋体" w:hAnsi="宋体" w:cs="宋体"/>
          <w:color w:val="auto"/>
          <w:sz w:val="24"/>
          <w:highlight w:val="none"/>
        </w:rPr>
      </w:pPr>
      <w:r>
        <w:rPr>
          <w:rFonts w:hint="eastAsia" w:ascii="宋体" w:hAnsi="宋体" w:cs="宋体"/>
          <w:color w:val="auto"/>
          <w:sz w:val="24"/>
          <w:highlight w:val="none"/>
        </w:rPr>
        <w:t>年   月   日                                年   月   日</w:t>
      </w:r>
    </w:p>
    <w:p w14:paraId="0F6E7694">
      <w:pPr>
        <w:pStyle w:val="36"/>
        <w:spacing w:before="145" w:beforeAutospacing="0" w:after="145" w:afterAutospacing="0" w:line="360" w:lineRule="auto"/>
        <w:jc w:val="both"/>
        <w:rPr>
          <w:rFonts w:hint="eastAsia" w:asciiTheme="majorEastAsia" w:hAnsiTheme="majorEastAsia" w:eastAsiaTheme="majorEastAsia" w:cstheme="majorEastAsia"/>
          <w:b/>
          <w:color w:val="auto"/>
          <w:sz w:val="30"/>
          <w:szCs w:val="30"/>
          <w:highlight w:val="none"/>
        </w:rPr>
      </w:pPr>
    </w:p>
    <w:p w14:paraId="0A2081C1">
      <w:pPr>
        <w:pStyle w:val="36"/>
        <w:spacing w:before="120" w:beforeAutospacing="0" w:after="120" w:afterAutospacing="0" w:line="360" w:lineRule="auto"/>
        <w:jc w:val="both"/>
        <w:rPr>
          <w:rFonts w:hint="eastAsia" w:asciiTheme="majorEastAsia" w:hAnsiTheme="majorEastAsia" w:eastAsiaTheme="majorEastAsia" w:cstheme="majorEastAsia"/>
          <w:b/>
          <w:bCs/>
          <w:color w:val="auto"/>
          <w:sz w:val="44"/>
          <w:szCs w:val="44"/>
          <w:highlight w:val="none"/>
        </w:rPr>
      </w:pPr>
    </w:p>
    <w:p w14:paraId="0570D0C8">
      <w:pPr>
        <w:pStyle w:val="36"/>
        <w:spacing w:before="120" w:beforeAutospacing="0" w:after="120" w:afterAutospacing="0" w:line="360" w:lineRule="auto"/>
        <w:jc w:val="both"/>
        <w:rPr>
          <w:rFonts w:hint="eastAsia" w:asciiTheme="majorEastAsia" w:hAnsiTheme="majorEastAsia" w:eastAsiaTheme="majorEastAsia" w:cstheme="majorEastAsia"/>
          <w:b/>
          <w:bCs/>
          <w:color w:val="auto"/>
          <w:sz w:val="44"/>
          <w:szCs w:val="44"/>
          <w:highlight w:val="none"/>
        </w:rPr>
      </w:pPr>
    </w:p>
    <w:p w14:paraId="07FF1345">
      <w:pPr>
        <w:pStyle w:val="36"/>
        <w:spacing w:before="120" w:beforeAutospacing="0" w:after="120" w:afterAutospacing="0" w:line="360" w:lineRule="auto"/>
        <w:jc w:val="both"/>
        <w:rPr>
          <w:rFonts w:hint="eastAsia" w:asciiTheme="majorEastAsia" w:hAnsiTheme="majorEastAsia" w:eastAsiaTheme="majorEastAsia" w:cstheme="majorEastAsia"/>
          <w:b/>
          <w:bCs/>
          <w:color w:val="auto"/>
          <w:sz w:val="44"/>
          <w:szCs w:val="44"/>
          <w:highlight w:val="none"/>
        </w:rPr>
      </w:pPr>
    </w:p>
    <w:p w14:paraId="370DF69A">
      <w:pPr>
        <w:pStyle w:val="36"/>
        <w:spacing w:before="120" w:beforeAutospacing="0" w:after="120" w:afterAutospacing="0" w:line="360" w:lineRule="auto"/>
        <w:jc w:val="both"/>
        <w:rPr>
          <w:rFonts w:hint="eastAsia" w:asciiTheme="majorEastAsia" w:hAnsiTheme="majorEastAsia" w:eastAsiaTheme="majorEastAsia" w:cstheme="majorEastAsia"/>
          <w:b/>
          <w:bCs/>
          <w:color w:val="auto"/>
          <w:sz w:val="44"/>
          <w:szCs w:val="44"/>
          <w:highlight w:val="none"/>
        </w:rPr>
      </w:pPr>
    </w:p>
    <w:p w14:paraId="0735D42D">
      <w:pPr>
        <w:pStyle w:val="36"/>
        <w:spacing w:before="120" w:beforeAutospacing="0" w:after="120" w:afterAutospacing="0" w:line="360" w:lineRule="auto"/>
        <w:jc w:val="both"/>
        <w:rPr>
          <w:rFonts w:hint="eastAsia" w:asciiTheme="majorEastAsia" w:hAnsiTheme="majorEastAsia" w:eastAsiaTheme="majorEastAsia" w:cstheme="majorEastAsia"/>
          <w:b/>
          <w:bCs/>
          <w:color w:val="auto"/>
          <w:sz w:val="44"/>
          <w:szCs w:val="44"/>
          <w:highlight w:val="none"/>
        </w:rPr>
      </w:pPr>
    </w:p>
    <w:p w14:paraId="0AE223CA">
      <w:pPr>
        <w:pStyle w:val="36"/>
        <w:spacing w:before="120" w:beforeAutospacing="0" w:after="120" w:afterAutospacing="0" w:line="360" w:lineRule="auto"/>
        <w:jc w:val="both"/>
        <w:rPr>
          <w:rFonts w:hint="eastAsia" w:asciiTheme="majorEastAsia" w:hAnsiTheme="majorEastAsia" w:eastAsiaTheme="majorEastAsia" w:cstheme="majorEastAsia"/>
          <w:b/>
          <w:bCs/>
          <w:color w:val="auto"/>
          <w:sz w:val="44"/>
          <w:szCs w:val="44"/>
          <w:highlight w:val="none"/>
        </w:rPr>
      </w:pPr>
    </w:p>
    <w:p w14:paraId="59D79AF0">
      <w:pPr>
        <w:pStyle w:val="36"/>
        <w:spacing w:before="120" w:beforeAutospacing="0" w:after="120" w:afterAutospacing="0" w:line="360" w:lineRule="auto"/>
        <w:jc w:val="both"/>
        <w:rPr>
          <w:rFonts w:hint="eastAsia" w:asciiTheme="majorEastAsia" w:hAnsiTheme="majorEastAsia" w:eastAsiaTheme="majorEastAsia" w:cstheme="majorEastAsia"/>
          <w:b/>
          <w:bCs/>
          <w:color w:val="auto"/>
          <w:sz w:val="44"/>
          <w:szCs w:val="44"/>
          <w:highlight w:val="none"/>
        </w:rPr>
      </w:pPr>
    </w:p>
    <w:p w14:paraId="3DF92ED8">
      <w:pPr>
        <w:spacing w:line="520" w:lineRule="exact"/>
        <w:rPr>
          <w:rFonts w:ascii="宋体" w:hAnsi="宋体" w:eastAsia="宋体" w:cs="宋体"/>
          <w:b/>
          <w:bCs/>
          <w:sz w:val="30"/>
        </w:rPr>
      </w:pPr>
      <w:r>
        <w:rPr>
          <w:rFonts w:hint="eastAsia" w:ascii="宋体" w:hAnsi="宋体" w:eastAsia="宋体" w:cs="宋体"/>
          <w:b/>
          <w:bCs/>
          <w:sz w:val="30"/>
        </w:rPr>
        <w:t>附件1：</w:t>
      </w:r>
    </w:p>
    <w:p w14:paraId="2C452BC0">
      <w:pPr>
        <w:spacing w:line="600" w:lineRule="exact"/>
        <w:jc w:val="center"/>
        <w:rPr>
          <w:rFonts w:ascii="宋体" w:hAnsi="宋体" w:eastAsia="宋体" w:cs="宋体"/>
          <w:b/>
          <w:sz w:val="44"/>
          <w:szCs w:val="44"/>
        </w:rPr>
      </w:pPr>
      <w:r>
        <w:rPr>
          <w:rFonts w:hint="eastAsia" w:ascii="宋体" w:hAnsi="宋体" w:eastAsia="宋体" w:cs="宋体"/>
          <w:b/>
          <w:sz w:val="44"/>
          <w:szCs w:val="44"/>
        </w:rPr>
        <w:t>盐城市公共卫生间保洁管理考核暂行办法</w:t>
      </w:r>
    </w:p>
    <w:p w14:paraId="3E9E4A52">
      <w:pPr>
        <w:spacing w:line="500" w:lineRule="exact"/>
        <w:ind w:firstLine="640"/>
        <w:rPr>
          <w:rFonts w:ascii="宋体" w:hAnsi="宋体" w:eastAsia="宋体" w:cs="宋体"/>
          <w:sz w:val="32"/>
          <w:szCs w:val="32"/>
        </w:rPr>
      </w:pPr>
    </w:p>
    <w:p w14:paraId="0BE0F6CE">
      <w:pPr>
        <w:spacing w:line="500" w:lineRule="exact"/>
        <w:ind w:firstLine="480"/>
        <w:rPr>
          <w:rFonts w:ascii="宋体" w:hAnsi="宋体" w:eastAsia="宋体" w:cs="宋体"/>
          <w:sz w:val="24"/>
        </w:rPr>
      </w:pPr>
      <w:r>
        <w:rPr>
          <w:rFonts w:hint="eastAsia" w:ascii="宋体" w:hAnsi="宋体" w:eastAsia="宋体" w:cs="宋体"/>
          <w:sz w:val="24"/>
        </w:rPr>
        <w:t>为进一步提高盐城市公共卫生间管理质量水平，加强公共卫生间市场化运作秩序，为市民和游客提供良好、便捷的如厕环境，现结合我区实际，特制定本办法。</w:t>
      </w:r>
    </w:p>
    <w:p w14:paraId="2091544B">
      <w:pPr>
        <w:spacing w:line="500" w:lineRule="exact"/>
        <w:ind w:firstLine="480"/>
        <w:contextualSpacing/>
        <w:rPr>
          <w:rFonts w:ascii="宋体" w:hAnsi="宋体" w:eastAsia="宋体" w:cs="宋体"/>
          <w:sz w:val="24"/>
        </w:rPr>
      </w:pPr>
      <w:r>
        <w:rPr>
          <w:rFonts w:hint="eastAsia" w:ascii="宋体" w:hAnsi="宋体" w:eastAsia="宋体" w:cs="宋体"/>
          <w:sz w:val="24"/>
        </w:rPr>
        <w:t>一、管理制度方面：</w:t>
      </w:r>
    </w:p>
    <w:p w14:paraId="4FDDDD4B">
      <w:pPr>
        <w:spacing w:line="500" w:lineRule="exact"/>
        <w:ind w:firstLine="480"/>
        <w:rPr>
          <w:rFonts w:ascii="宋体" w:hAnsi="宋体" w:eastAsia="宋体" w:cs="宋体"/>
          <w:sz w:val="24"/>
        </w:rPr>
      </w:pPr>
      <w:r>
        <w:rPr>
          <w:rFonts w:hint="eastAsia" w:ascii="宋体" w:hAnsi="宋体" w:eastAsia="宋体" w:cs="宋体"/>
          <w:sz w:val="24"/>
        </w:rPr>
        <w:t>（一）服务单位组织机构齐全，有市场化运作规章制度、档案台账和内部管理考核办法，实行常态化自查考核。违反前款规定，除责成整改外，每项扣罚服务单位50分。</w:t>
      </w:r>
    </w:p>
    <w:p w14:paraId="566C3E3B">
      <w:pPr>
        <w:spacing w:line="500" w:lineRule="exact"/>
        <w:ind w:firstLine="480"/>
        <w:rPr>
          <w:rFonts w:ascii="宋体" w:hAnsi="宋体" w:eastAsia="宋体" w:cs="宋体"/>
          <w:sz w:val="24"/>
        </w:rPr>
      </w:pPr>
      <w:r>
        <w:rPr>
          <w:rFonts w:hint="eastAsia" w:ascii="宋体" w:hAnsi="宋体" w:eastAsia="宋体" w:cs="宋体"/>
          <w:sz w:val="24"/>
        </w:rPr>
        <w:t>（二）服务单位必须遵守《劳动法》及相关法律法规的规定，若有违反，责任由服务单位自行承担，并扣罚200分/次。</w:t>
      </w:r>
    </w:p>
    <w:p w14:paraId="377EAC60">
      <w:pPr>
        <w:spacing w:line="500" w:lineRule="exact"/>
        <w:ind w:firstLine="480"/>
        <w:rPr>
          <w:rFonts w:ascii="宋体" w:hAnsi="宋体" w:eastAsia="宋体" w:cs="宋体"/>
          <w:sz w:val="24"/>
        </w:rPr>
      </w:pPr>
      <w:r>
        <w:rPr>
          <w:rFonts w:hint="eastAsia" w:ascii="宋体" w:hAnsi="宋体" w:eastAsia="宋体" w:cs="宋体"/>
          <w:sz w:val="24"/>
        </w:rPr>
        <w:t>（三）服务单位必须保证按照主管部门确定的管护人数进行公共卫生间管护作业，按照规定及时发放工资、福利，发现不按照规定发放工资、福利等，除责成整改外，每人次扣罚500分，情节恶劣的甲方有权终止合同。</w:t>
      </w:r>
    </w:p>
    <w:p w14:paraId="291A4D6B">
      <w:pPr>
        <w:spacing w:line="500" w:lineRule="exact"/>
        <w:ind w:firstLine="480"/>
        <w:rPr>
          <w:rFonts w:ascii="宋体" w:hAnsi="宋体" w:eastAsia="宋体" w:cs="宋体"/>
          <w:sz w:val="24"/>
        </w:rPr>
      </w:pPr>
      <w:r>
        <w:rPr>
          <w:rFonts w:hint="eastAsia" w:ascii="宋体" w:hAnsi="宋体" w:eastAsia="宋体" w:cs="宋体"/>
          <w:sz w:val="24"/>
        </w:rPr>
        <w:t>（四）公共卫生间管护工作人员、公司责任人不得顶撞、殴打、辱骂、要挟局机关工作人员以及专职考核人员。违反前款规定，除责成整改外，每项扣罚服务单位100分，情节严重的每次扣罚200分，造成恶劣影响的每次扣罚500分。</w:t>
      </w:r>
    </w:p>
    <w:p w14:paraId="0CBB688F">
      <w:pPr>
        <w:spacing w:line="500" w:lineRule="exact"/>
        <w:ind w:firstLine="480"/>
        <w:contextualSpacing/>
        <w:rPr>
          <w:rFonts w:ascii="宋体" w:hAnsi="宋体" w:eastAsia="宋体" w:cs="宋体"/>
          <w:sz w:val="24"/>
        </w:rPr>
      </w:pPr>
      <w:r>
        <w:rPr>
          <w:rFonts w:hint="eastAsia" w:ascii="宋体" w:hAnsi="宋体" w:eastAsia="宋体" w:cs="宋体"/>
          <w:sz w:val="24"/>
        </w:rPr>
        <w:t>二、卫生保洁方面：</w:t>
      </w:r>
    </w:p>
    <w:p w14:paraId="35951398">
      <w:pPr>
        <w:spacing w:line="500" w:lineRule="exact"/>
        <w:ind w:firstLine="480"/>
        <w:rPr>
          <w:rFonts w:ascii="宋体" w:hAnsi="宋体" w:eastAsia="宋体" w:cs="宋体"/>
          <w:sz w:val="24"/>
        </w:rPr>
      </w:pPr>
      <w:r>
        <w:rPr>
          <w:rFonts w:hint="eastAsia" w:ascii="宋体" w:hAnsi="宋体" w:eastAsia="宋体" w:cs="宋体"/>
          <w:sz w:val="24"/>
        </w:rPr>
        <w:t>（一）公共卫生间管护人员在工作期间要统一规范着装，正确佩证上岗，要注意文明用语、行为得体，服务态度良好，不得与居民发生纠纷。因服务质量或态度问题导致群众投诉的，一经查实，每起扣罚50分，在规定时间内（五个工作日）未能妥善处理的扣罚100分。</w:t>
      </w:r>
    </w:p>
    <w:p w14:paraId="1F2837D7">
      <w:pPr>
        <w:spacing w:line="500" w:lineRule="exact"/>
        <w:ind w:firstLine="480"/>
        <w:rPr>
          <w:rFonts w:ascii="宋体" w:hAnsi="宋体" w:eastAsia="宋体" w:cs="宋体"/>
          <w:sz w:val="24"/>
        </w:rPr>
      </w:pPr>
      <w:r>
        <w:rPr>
          <w:rFonts w:hint="eastAsia" w:ascii="宋体" w:hAnsi="宋体" w:eastAsia="宋体" w:cs="宋体"/>
          <w:sz w:val="24"/>
        </w:rPr>
        <w:t>（二）公共卫生间设专人管理，不得擅自离岗，不得由他人代替。公共卫生间保洁要做到“七净七无两通一明”（七净：设备、工具、台面、地面、墙壁、厕位、周边净；七无：无堵塞、无溢流、无蚊蝇、无异味、无涂鸦、无乱堆放、无私拉乱接；水通、电通；灯明。）。要做到不迟到、不早退、不旷工，违反的每人次扣罚20分（时间限度为10分钟），超过30分钟作旷工半天处理，每人次再扣罚20分。在班时间不得串岗、离岗、闲谈，违反一次扣罚10分，请假未履行审批手续的每人次扣罚100分。</w:t>
      </w:r>
    </w:p>
    <w:p w14:paraId="252293CA">
      <w:pPr>
        <w:spacing w:line="500" w:lineRule="exact"/>
        <w:ind w:firstLine="480"/>
        <w:rPr>
          <w:rFonts w:ascii="宋体" w:hAnsi="宋体" w:eastAsia="宋体" w:cs="宋体"/>
          <w:sz w:val="24"/>
        </w:rPr>
      </w:pPr>
      <w:r>
        <w:rPr>
          <w:rFonts w:hint="eastAsia" w:ascii="宋体" w:hAnsi="宋体" w:eastAsia="宋体" w:cs="宋体"/>
          <w:sz w:val="24"/>
        </w:rPr>
        <w:t>（三）公共卫生间卫生保洁标准应符合下列规定：1、公共卫生间室内：墙面、天花板、门窗和隔断板应无积灰、无污迹、无蛛网、无乱涂、无乱画；无蚊蝇蟑鼠；地面应保持干爽状态；便器应整洁，便器内外侧保持无积粪、无污物、无水锈、无尿垢；纸篓（垃圾桶）无满溢（不超过三分之一；2、公共卫生间室外：墙面应整洁，四周5米范围内，应无垃圾、无粪便、无污水、无杂草；3、蝇蚊孳生季节，应定时喷洒灭蚊蝇药物，有效防止蝇孳生；4、保洁工具应按规定位置放置整齐。违反前款规定，除责成整改外，发现一处扣罚20分。</w:t>
      </w:r>
    </w:p>
    <w:p w14:paraId="112A74EA">
      <w:pPr>
        <w:spacing w:line="500" w:lineRule="exact"/>
        <w:ind w:firstLine="480"/>
        <w:contextualSpacing/>
        <w:rPr>
          <w:rFonts w:ascii="宋体" w:hAnsi="宋体" w:eastAsia="宋体" w:cs="宋体"/>
          <w:sz w:val="24"/>
        </w:rPr>
      </w:pPr>
      <w:r>
        <w:rPr>
          <w:rFonts w:hint="eastAsia" w:ascii="宋体" w:hAnsi="宋体" w:eastAsia="宋体" w:cs="宋体"/>
          <w:sz w:val="24"/>
        </w:rPr>
        <w:t>三、服务管理方面：</w:t>
      </w:r>
    </w:p>
    <w:p w14:paraId="05E79464">
      <w:pPr>
        <w:spacing w:line="500" w:lineRule="exact"/>
        <w:ind w:firstLine="480"/>
        <w:rPr>
          <w:rFonts w:ascii="宋体" w:hAnsi="宋体" w:eastAsia="宋体" w:cs="宋体"/>
          <w:sz w:val="24"/>
        </w:rPr>
      </w:pPr>
      <w:r>
        <w:rPr>
          <w:rFonts w:hint="eastAsia" w:ascii="宋体" w:hAnsi="宋体" w:eastAsia="宋体" w:cs="宋体"/>
          <w:sz w:val="24"/>
        </w:rPr>
        <w:t>（一）公共卫生间应24小时免费开放，如遇停水、停电、维修等突发事件，应在公共卫生间醒目位置张贴告示牌；公厕管护人员将自己承担的工作委托给他人，发现一次扣罚40分。</w:t>
      </w:r>
    </w:p>
    <w:p w14:paraId="0923B449">
      <w:pPr>
        <w:spacing w:line="500" w:lineRule="exact"/>
        <w:ind w:firstLine="480"/>
        <w:rPr>
          <w:rFonts w:ascii="宋体" w:hAnsi="宋体" w:eastAsia="宋体" w:cs="宋体"/>
          <w:sz w:val="24"/>
        </w:rPr>
      </w:pPr>
      <w:r>
        <w:rPr>
          <w:rFonts w:hint="eastAsia" w:ascii="宋体" w:hAnsi="宋体" w:eastAsia="宋体" w:cs="宋体"/>
          <w:sz w:val="24"/>
        </w:rPr>
        <w:t>（二）服务单位严禁转包，如发现转包承包区域，主管部门有权终止本合同；主管部门有权安排（本标段）临时突击的活动任务，不配合的或完成任务不彻底的一次扣罚200分。</w:t>
      </w:r>
    </w:p>
    <w:p w14:paraId="2DB7F939">
      <w:pPr>
        <w:spacing w:line="500" w:lineRule="exact"/>
        <w:ind w:firstLine="480"/>
        <w:rPr>
          <w:rFonts w:ascii="宋体" w:hAnsi="宋体" w:eastAsia="宋体" w:cs="宋体"/>
          <w:sz w:val="24"/>
        </w:rPr>
      </w:pPr>
      <w:r>
        <w:rPr>
          <w:rFonts w:hint="eastAsia" w:ascii="宋体" w:hAnsi="宋体" w:eastAsia="宋体" w:cs="宋体"/>
          <w:sz w:val="24"/>
        </w:rPr>
        <w:t>（三）及时将公厕内外5米范围内冰雪和积水清除干净，采取防滑措施，设置防滑垫，防止如厕群众滑倒摔伤。造成群众滑倒摔伤等情况的，责任由服务单位承担，并扣罚500分。</w:t>
      </w:r>
    </w:p>
    <w:p w14:paraId="7A931EE5">
      <w:pPr>
        <w:spacing w:line="500" w:lineRule="exact"/>
        <w:ind w:firstLine="480"/>
        <w:rPr>
          <w:rFonts w:ascii="宋体" w:hAnsi="宋体" w:eastAsia="宋体" w:cs="宋体"/>
          <w:sz w:val="24"/>
        </w:rPr>
      </w:pPr>
      <w:r>
        <w:rPr>
          <w:rFonts w:hint="eastAsia" w:ascii="宋体" w:hAnsi="宋体" w:eastAsia="宋体" w:cs="宋体"/>
          <w:sz w:val="24"/>
        </w:rPr>
        <w:t>（四）公厕相关设施做到每日消杀，并有书面记录，洁具表面用消毒清洁剂清洗及抹干。</w:t>
      </w:r>
    </w:p>
    <w:p w14:paraId="41074A17">
      <w:pPr>
        <w:spacing w:line="500" w:lineRule="exact"/>
        <w:ind w:firstLine="480"/>
        <w:contextualSpacing/>
        <w:rPr>
          <w:rFonts w:ascii="宋体" w:hAnsi="宋体" w:eastAsia="宋体" w:cs="宋体"/>
          <w:sz w:val="24"/>
        </w:rPr>
      </w:pPr>
      <w:r>
        <w:rPr>
          <w:rFonts w:hint="eastAsia" w:ascii="宋体" w:hAnsi="宋体" w:eastAsia="宋体" w:cs="宋体"/>
          <w:sz w:val="24"/>
        </w:rPr>
        <w:t>四、设施维护方面：</w:t>
      </w:r>
    </w:p>
    <w:p w14:paraId="02EC09B4">
      <w:pPr>
        <w:spacing w:line="500" w:lineRule="exact"/>
        <w:ind w:firstLine="480"/>
        <w:rPr>
          <w:rFonts w:ascii="宋体" w:hAnsi="宋体" w:eastAsia="宋体" w:cs="宋体"/>
          <w:sz w:val="24"/>
        </w:rPr>
      </w:pPr>
      <w:r>
        <w:rPr>
          <w:rFonts w:hint="eastAsia" w:ascii="宋体" w:hAnsi="宋体" w:eastAsia="宋体" w:cs="宋体"/>
          <w:sz w:val="24"/>
        </w:rPr>
        <w:t>（一）公共卫生间的照明灯具、洗手器具、镜子、挂衣钩、烘手便器、排风等设备坚持日检查制度，如有损坏应及时维修；违反前款规定，除责成整改外，每一项次扣罚20分。</w:t>
      </w:r>
    </w:p>
    <w:p w14:paraId="1E858539">
      <w:pPr>
        <w:spacing w:line="500" w:lineRule="exact"/>
        <w:ind w:firstLine="480"/>
        <w:rPr>
          <w:rFonts w:ascii="宋体" w:hAnsi="宋体" w:eastAsia="宋体" w:cs="宋体"/>
          <w:sz w:val="24"/>
        </w:rPr>
      </w:pPr>
      <w:r>
        <w:rPr>
          <w:rFonts w:hint="eastAsia" w:ascii="宋体" w:hAnsi="宋体" w:eastAsia="宋体" w:cs="宋体"/>
          <w:sz w:val="24"/>
        </w:rPr>
        <w:t>（二）公共卫生间的化粪池与出粪口应有盖板，且无破损凸陷。违反前款规定，除责成整改外，每一项次扣罚20分。</w:t>
      </w:r>
    </w:p>
    <w:p w14:paraId="664A54E3">
      <w:pPr>
        <w:spacing w:line="500" w:lineRule="exact"/>
        <w:ind w:firstLine="480"/>
        <w:contextualSpacing/>
        <w:rPr>
          <w:rFonts w:ascii="宋体" w:hAnsi="宋体" w:eastAsia="宋体" w:cs="宋体"/>
          <w:sz w:val="24"/>
        </w:rPr>
      </w:pPr>
      <w:r>
        <w:rPr>
          <w:rFonts w:hint="eastAsia" w:ascii="宋体" w:hAnsi="宋体" w:eastAsia="宋体" w:cs="宋体"/>
          <w:sz w:val="24"/>
        </w:rPr>
        <w:t>五、安全管理方面：</w:t>
      </w:r>
    </w:p>
    <w:p w14:paraId="206124F5">
      <w:pPr>
        <w:spacing w:line="500" w:lineRule="exact"/>
        <w:ind w:firstLine="480"/>
        <w:rPr>
          <w:rFonts w:ascii="宋体" w:hAnsi="宋体" w:eastAsia="宋体" w:cs="宋体"/>
          <w:sz w:val="24"/>
        </w:rPr>
      </w:pPr>
      <w:r>
        <w:rPr>
          <w:rFonts w:hint="eastAsia" w:ascii="宋体" w:hAnsi="宋体" w:eastAsia="宋体" w:cs="宋体"/>
          <w:sz w:val="24"/>
        </w:rPr>
        <w:t>（一）服务单位要坚持"安全第一，预防为主"的方针，搞好内部管理，必须与职工签定安全责任书，并结合实际制定安全生产制度，落实安全生产措施，每月召开安全生产会议，有日常安全生产台账资料，确保不发生安全生产责任事故。违反前款规定，如台账资料不齐全的，每次扣罚20分；管理不当发生安全生产事故的，除责成整改外，造成的损失由该服务公司自行承担，每次扣罚服务单位500分；发生人员伤亡等情节严重的甲方有权解除合同。</w:t>
      </w:r>
    </w:p>
    <w:p w14:paraId="03E3C467">
      <w:pPr>
        <w:spacing w:line="500" w:lineRule="exact"/>
        <w:ind w:firstLine="480"/>
        <w:rPr>
          <w:rFonts w:ascii="宋体" w:hAnsi="宋体" w:eastAsia="宋体" w:cs="宋体"/>
          <w:sz w:val="24"/>
        </w:rPr>
      </w:pPr>
      <w:r>
        <w:rPr>
          <w:rFonts w:hint="eastAsia" w:ascii="宋体" w:hAnsi="宋体" w:eastAsia="宋体" w:cs="宋体"/>
          <w:sz w:val="24"/>
        </w:rPr>
        <w:t>（二）管护人员应安全用电，节约用电，确保用电安全，禁止飞线充电、使用电热毯、小太阳等安全隐患系数较高的电器产品，不得对公共卫生间私拉乱接，不得私装乱拆，不得在四周破坏绿化种植农作物，违反前款规定，除责成整改外，每次扣罚100分。</w:t>
      </w:r>
    </w:p>
    <w:p w14:paraId="2443ED22">
      <w:pPr>
        <w:spacing w:line="500" w:lineRule="exact"/>
        <w:ind w:firstLine="480"/>
        <w:rPr>
          <w:rFonts w:ascii="宋体" w:hAnsi="宋体" w:eastAsia="宋体" w:cs="宋体"/>
          <w:sz w:val="24"/>
        </w:rPr>
      </w:pPr>
      <w:r>
        <w:rPr>
          <w:rFonts w:hint="eastAsia" w:ascii="宋体" w:hAnsi="宋体" w:eastAsia="宋体" w:cs="宋体"/>
          <w:sz w:val="24"/>
        </w:rPr>
        <w:t>六、节约管理方面：</w:t>
      </w:r>
    </w:p>
    <w:p w14:paraId="29A7E160">
      <w:pPr>
        <w:spacing w:line="500" w:lineRule="exact"/>
        <w:ind w:firstLine="480"/>
        <w:rPr>
          <w:rFonts w:ascii="宋体" w:hAnsi="宋体" w:eastAsia="宋体" w:cs="宋体"/>
          <w:sz w:val="24"/>
        </w:rPr>
      </w:pPr>
      <w:r>
        <w:rPr>
          <w:rFonts w:hint="eastAsia" w:ascii="宋体" w:hAnsi="宋体" w:eastAsia="宋体" w:cs="宋体"/>
          <w:sz w:val="24"/>
        </w:rPr>
        <w:t>节约水电，水电只允许日常保洁和管护人员食宿使用，禁止将公厕管理用水、用电外借、外卖或用于其他用途，违反前款规定，除责成整改外，每次扣罚50分。</w:t>
      </w:r>
    </w:p>
    <w:p w14:paraId="066C7518">
      <w:pPr>
        <w:spacing w:line="500" w:lineRule="exact"/>
        <w:ind w:firstLine="480"/>
        <w:rPr>
          <w:rFonts w:ascii="宋体" w:hAnsi="宋体" w:eastAsia="宋体" w:cs="宋体"/>
          <w:sz w:val="24"/>
        </w:rPr>
      </w:pPr>
      <w:r>
        <w:rPr>
          <w:rFonts w:hint="eastAsia" w:ascii="宋体" w:hAnsi="宋体" w:eastAsia="宋体" w:cs="宋体"/>
          <w:sz w:val="24"/>
        </w:rPr>
        <w:t>七、舆情处置方面：</w:t>
      </w:r>
    </w:p>
    <w:p w14:paraId="64AFC701">
      <w:pPr>
        <w:spacing w:line="500" w:lineRule="exact"/>
        <w:ind w:firstLine="480"/>
        <w:rPr>
          <w:rFonts w:ascii="宋体" w:hAnsi="宋体" w:eastAsia="宋体" w:cs="宋体"/>
          <w:sz w:val="24"/>
        </w:rPr>
      </w:pPr>
      <w:r>
        <w:rPr>
          <w:rFonts w:hint="eastAsia" w:ascii="宋体" w:hAnsi="宋体" w:eastAsia="宋体" w:cs="宋体"/>
          <w:sz w:val="24"/>
        </w:rPr>
        <w:t>（一）公厕管护人员被市民或单位投诉服务质量差、发现一次扣20分。有违纪违规等问题，经查属服务单位责任的，除责成整改外，每件扣罚500分。</w:t>
      </w:r>
    </w:p>
    <w:p w14:paraId="202C3841">
      <w:pPr>
        <w:spacing w:line="500" w:lineRule="exact"/>
        <w:ind w:firstLine="480"/>
        <w:rPr>
          <w:rFonts w:ascii="宋体" w:hAnsi="宋体" w:eastAsia="宋体" w:cs="宋体"/>
          <w:sz w:val="24"/>
        </w:rPr>
      </w:pPr>
      <w:r>
        <w:rPr>
          <w:rFonts w:hint="eastAsia" w:ascii="宋体" w:hAnsi="宋体" w:eastAsia="宋体" w:cs="宋体"/>
          <w:sz w:val="24"/>
        </w:rPr>
        <w:t>（二）服务单位切实履行合同、考核制度，违反前款规定，被市民或驻城单位投诉到城管热线、城建热线、数字化城管指挥中心、市长热线等相关单位的，服务单位没有作出合理回复，影响政府形象，除责成整改或承担整改任务费用外，每次扣罚200分。被新闻媒体曝光、市、区点名批评的，经查属服务单位责任的，除限期整改或承担整改任务费用外，每次扣罚500分，情节严重的甲方有权解除合同。</w:t>
      </w:r>
    </w:p>
    <w:p w14:paraId="7C28D161">
      <w:pPr>
        <w:spacing w:line="500" w:lineRule="exact"/>
        <w:ind w:firstLine="480"/>
        <w:rPr>
          <w:rFonts w:ascii="宋体" w:hAnsi="宋体" w:eastAsia="宋体" w:cs="宋体"/>
          <w:sz w:val="24"/>
        </w:rPr>
      </w:pPr>
      <w:r>
        <w:rPr>
          <w:rFonts w:hint="eastAsia" w:ascii="宋体" w:hAnsi="宋体" w:eastAsia="宋体" w:cs="宋体"/>
          <w:sz w:val="24"/>
        </w:rPr>
        <w:t>八、考核管理方面：</w:t>
      </w:r>
    </w:p>
    <w:p w14:paraId="1C7760CD">
      <w:pPr>
        <w:spacing w:line="500" w:lineRule="exact"/>
        <w:ind w:firstLine="480"/>
        <w:rPr>
          <w:rFonts w:ascii="宋体" w:hAnsi="宋体" w:eastAsia="宋体" w:cs="宋体"/>
          <w:sz w:val="24"/>
        </w:rPr>
      </w:pPr>
      <w:r>
        <w:rPr>
          <w:rFonts w:hint="eastAsia" w:ascii="宋体" w:hAnsi="宋体" w:eastAsia="宋体" w:cs="宋体"/>
          <w:sz w:val="24"/>
        </w:rPr>
        <w:t>（一）公共卫生间管理考核办法贯穿于公厕管护作业运行的全过程，主管部门有权随时对合同范围内的工作情况进行考核、不服从考核的第一次扣罚200分，经约谈后仍不服从的甲方有权解除合同。</w:t>
      </w:r>
    </w:p>
    <w:p w14:paraId="76CC51CA">
      <w:pPr>
        <w:spacing w:line="500" w:lineRule="exact"/>
        <w:ind w:firstLine="480"/>
        <w:rPr>
          <w:rFonts w:ascii="宋体" w:hAnsi="宋体" w:eastAsia="宋体" w:cs="宋体"/>
          <w:sz w:val="24"/>
        </w:rPr>
      </w:pPr>
      <w:r>
        <w:rPr>
          <w:rFonts w:hint="eastAsia" w:ascii="宋体" w:hAnsi="宋体" w:eastAsia="宋体" w:cs="宋体"/>
          <w:sz w:val="24"/>
        </w:rPr>
        <w:t>（二）年度考核累计扣5000分及以上，甲方有权终止合同，由此造成的损失由该服务公司自行承担。</w:t>
      </w:r>
    </w:p>
    <w:p w14:paraId="3104296A">
      <w:pPr>
        <w:spacing w:line="500" w:lineRule="exact"/>
        <w:ind w:firstLine="480"/>
        <w:rPr>
          <w:rFonts w:ascii="宋体" w:hAnsi="宋体" w:eastAsia="宋体" w:cs="宋体"/>
          <w:sz w:val="24"/>
        </w:rPr>
      </w:pPr>
      <w:r>
        <w:rPr>
          <w:rFonts w:hint="eastAsia" w:ascii="宋体" w:hAnsi="宋体" w:eastAsia="宋体" w:cs="宋体"/>
          <w:sz w:val="24"/>
        </w:rPr>
        <w:t>（三）公共卫生间管理考核工作由盐城市亭湖区人民政府大洋街道办事处组成考核小组实施督查考核。</w:t>
      </w:r>
    </w:p>
    <w:p w14:paraId="467A8A78">
      <w:pPr>
        <w:pStyle w:val="36"/>
        <w:spacing w:before="120" w:beforeAutospacing="0" w:after="120" w:afterAutospacing="0" w:line="360" w:lineRule="auto"/>
        <w:jc w:val="left"/>
        <w:rPr>
          <w:rFonts w:hint="eastAsia" w:ascii="宋体" w:hAnsi="宋体" w:eastAsia="宋体" w:cs="宋体"/>
          <w:b/>
          <w:bCs/>
          <w:sz w:val="24"/>
        </w:rPr>
      </w:pPr>
      <w:r>
        <w:rPr>
          <w:rFonts w:hint="eastAsia" w:ascii="宋体" w:hAnsi="宋体" w:eastAsia="宋体" w:cs="宋体"/>
          <w:b/>
          <w:bCs/>
          <w:sz w:val="24"/>
          <w:lang w:val="en-US" w:eastAsia="zh-CN"/>
        </w:rPr>
        <w:t xml:space="preserve">    </w:t>
      </w:r>
      <w:r>
        <w:rPr>
          <w:rFonts w:hint="eastAsia" w:ascii="宋体" w:hAnsi="宋体" w:eastAsia="宋体" w:cs="宋体"/>
          <w:b/>
          <w:bCs/>
          <w:sz w:val="24"/>
        </w:rPr>
        <w:t>以上管理考核结果直接与服务单位服务经费挂钩兑现，各项每扣1分分值扣人民币10元。</w:t>
      </w:r>
    </w:p>
    <w:p w14:paraId="346C5AAE">
      <w:pPr>
        <w:pStyle w:val="36"/>
        <w:spacing w:before="120" w:beforeAutospacing="0" w:after="120" w:afterAutospacing="0" w:line="360" w:lineRule="auto"/>
        <w:jc w:val="center"/>
        <w:rPr>
          <w:rFonts w:hint="eastAsia" w:ascii="宋体" w:hAnsi="宋体" w:eastAsia="宋体" w:cs="宋体"/>
          <w:b/>
          <w:bCs/>
          <w:sz w:val="24"/>
        </w:rPr>
      </w:pPr>
    </w:p>
    <w:p w14:paraId="7A4B8B2E">
      <w:pPr>
        <w:pStyle w:val="36"/>
        <w:spacing w:before="120" w:beforeAutospacing="0" w:after="120" w:afterAutospacing="0" w:line="360" w:lineRule="auto"/>
        <w:jc w:val="center"/>
        <w:rPr>
          <w:rFonts w:hint="eastAsia" w:ascii="宋体" w:hAnsi="宋体" w:eastAsia="宋体" w:cs="宋体"/>
          <w:b/>
          <w:bCs/>
          <w:sz w:val="24"/>
        </w:rPr>
      </w:pPr>
    </w:p>
    <w:p w14:paraId="29AEEE9C">
      <w:pPr>
        <w:pStyle w:val="36"/>
        <w:spacing w:before="120" w:beforeAutospacing="0" w:after="120" w:afterAutospacing="0" w:line="360" w:lineRule="auto"/>
        <w:jc w:val="center"/>
        <w:rPr>
          <w:rFonts w:hint="eastAsia" w:ascii="宋体" w:hAnsi="宋体" w:eastAsia="宋体" w:cs="宋体"/>
          <w:b/>
          <w:bCs/>
          <w:sz w:val="24"/>
        </w:rPr>
      </w:pPr>
    </w:p>
    <w:p w14:paraId="7273DF77">
      <w:pPr>
        <w:pStyle w:val="36"/>
        <w:spacing w:before="120" w:beforeAutospacing="0" w:after="120" w:afterAutospacing="0" w:line="360" w:lineRule="auto"/>
        <w:jc w:val="center"/>
        <w:rPr>
          <w:rFonts w:hint="eastAsia" w:ascii="宋体" w:hAnsi="宋体" w:eastAsia="宋体" w:cs="宋体"/>
          <w:b/>
          <w:bCs/>
          <w:sz w:val="24"/>
        </w:rPr>
      </w:pPr>
    </w:p>
    <w:p w14:paraId="29F1F038">
      <w:pPr>
        <w:pStyle w:val="36"/>
        <w:spacing w:before="120" w:beforeAutospacing="0" w:after="120" w:afterAutospacing="0" w:line="360" w:lineRule="auto"/>
        <w:jc w:val="center"/>
        <w:rPr>
          <w:rFonts w:hint="eastAsia" w:ascii="宋体" w:hAnsi="宋体" w:eastAsia="宋体" w:cs="宋体"/>
          <w:b/>
          <w:bCs/>
          <w:sz w:val="24"/>
        </w:rPr>
      </w:pPr>
    </w:p>
    <w:p w14:paraId="3269C2FD">
      <w:pPr>
        <w:pStyle w:val="36"/>
        <w:spacing w:before="120" w:beforeAutospacing="0" w:after="120" w:afterAutospacing="0" w:line="360" w:lineRule="auto"/>
        <w:jc w:val="center"/>
        <w:rPr>
          <w:rFonts w:hint="eastAsia" w:ascii="宋体" w:hAnsi="宋体" w:eastAsia="宋体" w:cs="宋体"/>
          <w:b/>
          <w:bCs/>
          <w:sz w:val="24"/>
        </w:rPr>
      </w:pPr>
    </w:p>
    <w:p w14:paraId="5AACE3DE">
      <w:pPr>
        <w:pStyle w:val="36"/>
        <w:spacing w:before="120" w:beforeAutospacing="0" w:after="120" w:afterAutospacing="0" w:line="360" w:lineRule="auto"/>
        <w:jc w:val="center"/>
        <w:rPr>
          <w:rFonts w:hint="eastAsia" w:ascii="宋体" w:hAnsi="宋体" w:eastAsia="宋体" w:cs="宋体"/>
          <w:b/>
          <w:bCs/>
          <w:sz w:val="24"/>
        </w:rPr>
      </w:pPr>
    </w:p>
    <w:p w14:paraId="48DDA391">
      <w:pPr>
        <w:pStyle w:val="36"/>
        <w:spacing w:before="120" w:beforeAutospacing="0" w:after="120" w:afterAutospacing="0" w:line="360" w:lineRule="auto"/>
        <w:jc w:val="center"/>
        <w:rPr>
          <w:rFonts w:hint="eastAsia" w:ascii="宋体" w:hAnsi="宋体" w:eastAsia="宋体" w:cs="宋体"/>
          <w:b/>
          <w:bCs/>
          <w:sz w:val="24"/>
        </w:rPr>
      </w:pPr>
    </w:p>
    <w:p w14:paraId="018631EE">
      <w:pPr>
        <w:pStyle w:val="36"/>
        <w:spacing w:before="120" w:beforeAutospacing="0" w:after="120" w:afterAutospacing="0" w:line="360" w:lineRule="auto"/>
        <w:jc w:val="center"/>
        <w:rPr>
          <w:rFonts w:hint="eastAsia" w:ascii="宋体" w:hAnsi="宋体" w:eastAsia="宋体" w:cs="宋体"/>
          <w:b/>
          <w:bCs/>
          <w:sz w:val="24"/>
        </w:rPr>
      </w:pPr>
    </w:p>
    <w:p w14:paraId="212DD86D">
      <w:pPr>
        <w:pStyle w:val="36"/>
        <w:spacing w:before="120" w:beforeAutospacing="0" w:after="120" w:afterAutospacing="0" w:line="360" w:lineRule="auto"/>
        <w:jc w:val="center"/>
        <w:rPr>
          <w:rFonts w:hint="eastAsia" w:ascii="宋体" w:hAnsi="宋体" w:eastAsia="宋体" w:cs="宋体"/>
          <w:b/>
          <w:bCs/>
          <w:sz w:val="24"/>
        </w:rPr>
      </w:pPr>
    </w:p>
    <w:p w14:paraId="5CCECFDA">
      <w:pPr>
        <w:pStyle w:val="36"/>
        <w:spacing w:before="120" w:beforeAutospacing="0" w:after="120" w:afterAutospacing="0" w:line="360" w:lineRule="auto"/>
        <w:jc w:val="both"/>
        <w:rPr>
          <w:rFonts w:hint="eastAsia" w:ascii="宋体" w:hAnsi="宋体" w:eastAsia="宋体" w:cs="宋体"/>
          <w:b/>
          <w:bCs/>
          <w:sz w:val="24"/>
        </w:rPr>
      </w:pPr>
    </w:p>
    <w:p w14:paraId="301E942B">
      <w:pPr>
        <w:pStyle w:val="36"/>
        <w:spacing w:before="120" w:beforeAutospacing="0" w:after="120" w:afterAutospacing="0"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bCs/>
          <w:color w:val="auto"/>
          <w:sz w:val="44"/>
          <w:szCs w:val="44"/>
          <w:highlight w:val="none"/>
        </w:rPr>
        <w:t>第</w:t>
      </w:r>
      <w:bookmarkEnd w:id="179"/>
      <w:r>
        <w:rPr>
          <w:rFonts w:hint="eastAsia" w:asciiTheme="majorEastAsia" w:hAnsiTheme="majorEastAsia" w:eastAsiaTheme="majorEastAsia" w:cstheme="majorEastAsia"/>
          <w:b/>
          <w:bCs/>
          <w:color w:val="auto"/>
          <w:sz w:val="44"/>
          <w:szCs w:val="44"/>
          <w:highlight w:val="none"/>
        </w:rPr>
        <w:t>四章 采购需求</w:t>
      </w:r>
      <w:bookmarkEnd w:id="180"/>
      <w:bookmarkEnd w:id="181"/>
      <w:bookmarkEnd w:id="182"/>
      <w:bookmarkEnd w:id="183"/>
      <w:bookmarkEnd w:id="184"/>
    </w:p>
    <w:p w14:paraId="6A368A17">
      <w:pPr>
        <w:pStyle w:val="36"/>
        <w:spacing w:beforeAutospacing="0" w:afterAutospacing="0" w:line="500" w:lineRule="exact"/>
        <w:ind w:firstLine="480"/>
        <w:jc w:val="both"/>
        <w:rPr>
          <w:rFonts w:ascii="宋体" w:hAnsi="宋体" w:eastAsia="宋体" w:cs="宋体"/>
        </w:rPr>
      </w:pPr>
      <w:bookmarkStart w:id="186" w:name="_Toc49090575"/>
      <w:bookmarkStart w:id="187" w:name="_Toc26554093"/>
      <w:r>
        <w:rPr>
          <w:rFonts w:hint="eastAsia" w:ascii="宋体" w:hAnsi="宋体" w:eastAsia="宋体" w:cs="宋体"/>
        </w:rPr>
        <w:t>项目属性:服务类项目。</w:t>
      </w:r>
      <w:bookmarkEnd w:id="186"/>
      <w:bookmarkEnd w:id="187"/>
    </w:p>
    <w:p w14:paraId="52B59E3C">
      <w:pPr>
        <w:spacing w:line="500" w:lineRule="exact"/>
        <w:ind w:firstLine="482"/>
        <w:rPr>
          <w:rFonts w:ascii="宋体" w:hAnsi="宋体" w:eastAsia="宋体" w:cs="宋体"/>
          <w:b/>
          <w:bCs/>
          <w:sz w:val="24"/>
        </w:rPr>
      </w:pPr>
      <w:r>
        <w:rPr>
          <w:rFonts w:hint="eastAsia" w:ascii="宋体" w:hAnsi="宋体" w:eastAsia="宋体" w:cs="宋体"/>
          <w:b/>
          <w:sz w:val="24"/>
        </w:rPr>
        <w:t>一、标段划分及招标内容：</w:t>
      </w:r>
    </w:p>
    <w:p w14:paraId="7391200F">
      <w:pPr>
        <w:pStyle w:val="28"/>
        <w:tabs>
          <w:tab w:val="right" w:leader="dot" w:pos="9406"/>
        </w:tabs>
        <w:spacing w:line="500" w:lineRule="exact"/>
        <w:ind w:firstLine="480"/>
        <w:rPr>
          <w:rFonts w:ascii="宋体" w:hAnsi="宋体" w:eastAsia="宋体" w:cs="宋体"/>
          <w:sz w:val="24"/>
        </w:rPr>
      </w:pPr>
      <w:r>
        <w:rPr>
          <w:rFonts w:hint="eastAsia" w:ascii="宋体" w:hAnsi="宋体" w:eastAsia="宋体" w:cs="宋体"/>
          <w:sz w:val="24"/>
        </w:rPr>
        <w:t>本次招标为一个标段，招标内容为</w:t>
      </w:r>
      <w:r>
        <w:rPr>
          <w:rFonts w:hint="eastAsia" w:ascii="宋体" w:hAnsi="宋体" w:eastAsia="宋体" w:cs="宋体"/>
          <w:sz w:val="24"/>
          <w:lang w:eastAsia="zh-CN"/>
        </w:rPr>
        <w:t>2025年11月-2027年11月大洋街道辖区公厕管护服务采购项目</w:t>
      </w:r>
      <w:r>
        <w:rPr>
          <w:rFonts w:hint="eastAsia" w:ascii="宋体" w:hAnsi="宋体" w:eastAsia="宋体" w:cs="宋体"/>
          <w:sz w:val="24"/>
        </w:rPr>
        <w:t>，具体内容及要求详见招标文件。</w:t>
      </w:r>
    </w:p>
    <w:p w14:paraId="3B1CD7EA">
      <w:pPr>
        <w:spacing w:line="500" w:lineRule="exact"/>
        <w:ind w:firstLine="482"/>
        <w:rPr>
          <w:rFonts w:ascii="宋体" w:hAnsi="宋体" w:eastAsia="宋体" w:cs="宋体"/>
          <w:b/>
          <w:sz w:val="24"/>
        </w:rPr>
      </w:pPr>
      <w:r>
        <w:rPr>
          <w:rFonts w:hint="eastAsia" w:ascii="宋体" w:hAnsi="宋体" w:eastAsia="宋体" w:cs="宋体"/>
          <w:b/>
          <w:sz w:val="24"/>
        </w:rPr>
        <w:t>二、招标范围：</w:t>
      </w:r>
    </w:p>
    <w:p w14:paraId="6BCC0BB6">
      <w:pPr>
        <w:spacing w:line="500" w:lineRule="exact"/>
        <w:ind w:firstLine="480"/>
        <w:rPr>
          <w:rFonts w:ascii="宋体" w:hAnsi="宋体" w:eastAsia="宋体" w:cs="宋体"/>
          <w:b/>
          <w:spacing w:val="15"/>
          <w:sz w:val="24"/>
        </w:rPr>
      </w:pPr>
      <w:r>
        <w:rPr>
          <w:rFonts w:hint="eastAsia" w:ascii="宋体" w:hAnsi="宋体" w:eastAsia="宋体" w:cs="宋体"/>
          <w:sz w:val="24"/>
          <w:lang w:eastAsia="zh-CN"/>
        </w:rPr>
        <w:t>2025年11月-2027年11月大洋街道辖区公厕管护服务采购项目</w:t>
      </w:r>
      <w:r>
        <w:rPr>
          <w:rFonts w:hint="eastAsia" w:ascii="宋体" w:hAnsi="宋体" w:eastAsia="宋体" w:cs="宋体"/>
          <w:sz w:val="24"/>
        </w:rPr>
        <w:t>，详细情况由投标人自行勘察现场。</w:t>
      </w:r>
    </w:p>
    <w:p w14:paraId="3EEAAA27">
      <w:pPr>
        <w:spacing w:line="500" w:lineRule="exact"/>
        <w:ind w:firstLine="477"/>
        <w:rPr>
          <w:rFonts w:ascii="宋体" w:hAnsi="宋体" w:eastAsia="宋体" w:cs="宋体"/>
          <w:bCs/>
          <w:sz w:val="24"/>
        </w:rPr>
      </w:pPr>
      <w:r>
        <w:rPr>
          <w:rFonts w:hint="eastAsia" w:ascii="宋体" w:hAnsi="宋体" w:eastAsia="宋体" w:cs="宋体"/>
          <w:b/>
          <w:sz w:val="24"/>
        </w:rPr>
        <w:t>三、项目地点：</w:t>
      </w:r>
      <w:r>
        <w:rPr>
          <w:rFonts w:hint="eastAsia" w:ascii="宋体" w:hAnsi="宋体" w:eastAsia="宋体" w:cs="宋体"/>
          <w:bCs/>
          <w:sz w:val="24"/>
        </w:rPr>
        <w:t>盐城市大洋街道境内。</w:t>
      </w:r>
    </w:p>
    <w:p w14:paraId="1D3310D0">
      <w:pPr>
        <w:pStyle w:val="28"/>
        <w:tabs>
          <w:tab w:val="right" w:leader="dot" w:pos="9406"/>
        </w:tabs>
        <w:spacing w:line="500" w:lineRule="exact"/>
        <w:ind w:firstLine="480"/>
        <w:rPr>
          <w:rFonts w:ascii="宋体" w:hAnsi="宋体" w:eastAsia="宋体" w:cs="宋体"/>
          <w:b/>
          <w:sz w:val="24"/>
        </w:rPr>
      </w:pPr>
      <w:r>
        <w:rPr>
          <w:rFonts w:hint="eastAsia" w:ascii="宋体" w:hAnsi="宋体" w:eastAsia="宋体" w:cs="宋体"/>
          <w:b/>
          <w:sz w:val="24"/>
        </w:rPr>
        <w:t>四、服务要求：</w:t>
      </w:r>
    </w:p>
    <w:p w14:paraId="6CE20DF9">
      <w:pPr>
        <w:spacing w:line="500" w:lineRule="exact"/>
        <w:ind w:firstLine="480"/>
        <w:rPr>
          <w:rFonts w:ascii="宋体" w:hAnsi="宋体" w:eastAsia="宋体" w:cs="宋体"/>
          <w:sz w:val="24"/>
        </w:rPr>
      </w:pPr>
      <w:r>
        <w:rPr>
          <w:rFonts w:hint="eastAsia" w:ascii="宋体" w:hAnsi="宋体" w:eastAsia="宋体" w:cs="宋体"/>
          <w:sz w:val="24"/>
        </w:rPr>
        <w:t>1、中标人中标后10日内完成设备投入、人员配备等相关的运作准备工作，完善作业方案，配备用于本项目的所有车辆、设备、垃圾桶、工具、日常所需的便民服务用品（如清洁剂、消毒剂、除臭剂、有供纸设备的提供厕纸、洗手液等）、人员等，并报</w:t>
      </w:r>
      <w:r>
        <w:rPr>
          <w:rFonts w:hint="eastAsia" w:ascii="宋体" w:hAnsi="宋体" w:eastAsia="宋体" w:cs="宋体"/>
          <w:bCs/>
          <w:sz w:val="24"/>
        </w:rPr>
        <w:t>盐城市亭湖区人民政府大洋街道办事处</w:t>
      </w:r>
      <w:r>
        <w:rPr>
          <w:rFonts w:hint="eastAsia" w:ascii="宋体" w:hAnsi="宋体" w:eastAsia="宋体" w:cs="宋体"/>
          <w:sz w:val="24"/>
        </w:rPr>
        <w:t>审核、备案</w:t>
      </w:r>
      <w:r>
        <w:rPr>
          <w:rFonts w:hint="eastAsia" w:ascii="宋体" w:hAnsi="宋体" w:eastAsia="宋体" w:cs="宋体"/>
          <w:bCs/>
          <w:sz w:val="24"/>
        </w:rPr>
        <w:t>。</w:t>
      </w:r>
    </w:p>
    <w:p w14:paraId="0C873C8E">
      <w:pPr>
        <w:spacing w:line="500" w:lineRule="exact"/>
        <w:ind w:firstLine="480"/>
        <w:rPr>
          <w:rFonts w:ascii="宋体" w:hAnsi="宋体" w:eastAsia="宋体" w:cs="宋体"/>
          <w:bCs/>
          <w:sz w:val="24"/>
        </w:rPr>
      </w:pPr>
      <w:r>
        <w:rPr>
          <w:rFonts w:hint="eastAsia" w:ascii="宋体" w:hAnsi="宋体" w:eastAsia="宋体" w:cs="宋体"/>
          <w:bCs/>
          <w:sz w:val="24"/>
        </w:rPr>
        <w:t>2、</w:t>
      </w:r>
      <w:r>
        <w:rPr>
          <w:rFonts w:hint="eastAsia" w:ascii="宋体" w:hAnsi="宋体" w:eastAsia="宋体" w:cs="宋体"/>
          <w:sz w:val="24"/>
        </w:rPr>
        <w:t>中标人</w:t>
      </w:r>
      <w:r>
        <w:rPr>
          <w:rFonts w:hint="eastAsia" w:ascii="宋体" w:hAnsi="宋体" w:eastAsia="宋体" w:cs="宋体"/>
          <w:bCs/>
          <w:sz w:val="24"/>
        </w:rPr>
        <w:t>中标后，必须在规定时间内实施作业，自行做好与前一轮单位交接的工作。</w:t>
      </w:r>
    </w:p>
    <w:p w14:paraId="2F4303F1">
      <w:pPr>
        <w:spacing w:line="500" w:lineRule="exact"/>
        <w:ind w:firstLine="480"/>
        <w:rPr>
          <w:rFonts w:ascii="宋体" w:hAnsi="宋体" w:eastAsia="宋体" w:cs="宋体"/>
          <w:bCs/>
          <w:sz w:val="24"/>
        </w:rPr>
      </w:pPr>
      <w:r>
        <w:rPr>
          <w:rFonts w:hint="eastAsia" w:ascii="宋体" w:hAnsi="宋体" w:eastAsia="宋体" w:cs="宋体"/>
          <w:bCs/>
          <w:sz w:val="24"/>
        </w:rPr>
        <w:t>注：人员配备不少于6人。所有指示牌和卫生标准在上岗内15日全部上墙！</w:t>
      </w:r>
    </w:p>
    <w:p w14:paraId="48B20C91">
      <w:pPr>
        <w:spacing w:line="500" w:lineRule="exact"/>
        <w:ind w:firstLine="480"/>
        <w:rPr>
          <w:rFonts w:ascii="宋体" w:hAnsi="宋体" w:eastAsia="宋体" w:cs="宋体"/>
          <w:bCs/>
          <w:sz w:val="24"/>
        </w:rPr>
      </w:pPr>
      <w:r>
        <w:rPr>
          <w:rFonts w:hint="eastAsia" w:ascii="宋体" w:hAnsi="宋体" w:eastAsia="宋体" w:cs="宋体"/>
          <w:bCs/>
          <w:sz w:val="24"/>
        </w:rPr>
        <w:t>3、服务质量标准应不低于《盐城市市区环境卫生作业服务质量标准》、招标文件和合同规定的标准。中标人应建立内部督查考核机制，落实专人巡查、考核工作。</w:t>
      </w:r>
    </w:p>
    <w:p w14:paraId="72AB4FA6">
      <w:pPr>
        <w:spacing w:line="500" w:lineRule="exact"/>
        <w:ind w:firstLine="480"/>
        <w:rPr>
          <w:rFonts w:ascii="宋体" w:hAnsi="宋体" w:eastAsia="宋体" w:cs="宋体"/>
          <w:bCs/>
          <w:sz w:val="24"/>
        </w:rPr>
      </w:pPr>
      <w:r>
        <w:rPr>
          <w:rFonts w:hint="eastAsia" w:ascii="宋体" w:hAnsi="宋体" w:eastAsia="宋体" w:cs="宋体"/>
          <w:bCs/>
          <w:sz w:val="24"/>
        </w:rPr>
        <w:t>4、中标人必须服从盐城市亭湖区人民政府大洋街道办事处的管理和考核，由盐城市亭湖区人民政府大洋街道办事处依照《</w:t>
      </w:r>
      <w:r>
        <w:rPr>
          <w:rFonts w:hint="eastAsia" w:ascii="宋体" w:hAnsi="宋体" w:eastAsia="宋体" w:cs="宋体"/>
          <w:iCs/>
          <w:sz w:val="24"/>
        </w:rPr>
        <w:t>盐城市公共卫生间保洁管理考核暂行办法</w:t>
      </w:r>
      <w:r>
        <w:rPr>
          <w:rFonts w:hint="eastAsia" w:ascii="宋体" w:hAnsi="宋体" w:eastAsia="宋体" w:cs="宋体"/>
          <w:bCs/>
          <w:sz w:val="24"/>
        </w:rPr>
        <w:t>》（详见附件）组织考核，逐月兑现。</w:t>
      </w:r>
    </w:p>
    <w:p w14:paraId="4DA67696">
      <w:pPr>
        <w:spacing w:line="500" w:lineRule="exact"/>
        <w:ind w:firstLine="480"/>
        <w:rPr>
          <w:rFonts w:ascii="宋体" w:hAnsi="宋体" w:eastAsia="宋体" w:cs="宋体"/>
          <w:bCs/>
          <w:sz w:val="24"/>
        </w:rPr>
      </w:pPr>
      <w:r>
        <w:rPr>
          <w:rFonts w:hint="eastAsia" w:ascii="宋体" w:hAnsi="宋体" w:eastAsia="宋体" w:cs="宋体"/>
          <w:bCs/>
          <w:sz w:val="24"/>
        </w:rPr>
        <w:t>5、节假日期间须正常进行公厕保洁及管护。有重大保障活动和文明城市创建任务时，增加公厕保洁及管护人员，在班人员数量应不少于平时在班人员数量的1.5倍，必须按投标文件所承诺的环卫应急预案组织实施，因工作需要延长时间的，应服从盐城市亭湖区人民政府大洋街道办事处统一安排。</w:t>
      </w:r>
    </w:p>
    <w:p w14:paraId="0BCA4062">
      <w:pPr>
        <w:spacing w:line="500" w:lineRule="exact"/>
        <w:ind w:firstLine="480"/>
        <w:rPr>
          <w:rFonts w:ascii="宋体" w:hAnsi="宋体" w:eastAsia="宋体" w:cs="宋体"/>
          <w:sz w:val="24"/>
        </w:rPr>
      </w:pPr>
      <w:r>
        <w:rPr>
          <w:rFonts w:hint="eastAsia" w:ascii="宋体" w:hAnsi="宋体" w:eastAsia="宋体" w:cs="宋体"/>
          <w:bCs/>
          <w:sz w:val="24"/>
        </w:rPr>
        <w:t>6、</w:t>
      </w:r>
      <w:r>
        <w:rPr>
          <w:rFonts w:hint="eastAsia" w:ascii="宋体" w:hAnsi="宋体" w:eastAsia="宋体" w:cs="宋体"/>
          <w:sz w:val="24"/>
        </w:rPr>
        <w:t>保洁内容</w:t>
      </w:r>
    </w:p>
    <w:p w14:paraId="1D952651">
      <w:pPr>
        <w:spacing w:line="500" w:lineRule="exact"/>
        <w:ind w:firstLine="480"/>
        <w:rPr>
          <w:rFonts w:ascii="宋体" w:hAnsi="宋体" w:eastAsia="宋体" w:cs="宋体"/>
          <w:sz w:val="24"/>
        </w:rPr>
      </w:pPr>
      <w:r>
        <w:rPr>
          <w:rFonts w:hint="eastAsia" w:ascii="宋体" w:hAnsi="宋体" w:eastAsia="宋体" w:cs="宋体"/>
          <w:sz w:val="24"/>
        </w:rPr>
        <w:t>①区域内公厕的管理保洁工作及公厕周边5米范围内的卫生保洁工作，在招标人规定范围内做好公厕用水、用电管理和水卫设施管路防冻防护措施；做好公厕各类设施设备损坏的维修更换，确保所有各类设施正常使用；公厕产生的垃圾处置需日产日清（运输至就近的垃圾清运集中收集点，投标人自行考虑投入清运车辆及清运所需的各项费用）（此处维修更换所需的材料由甲方提供）。</w:t>
      </w:r>
    </w:p>
    <w:p w14:paraId="68B90A80">
      <w:pPr>
        <w:spacing w:line="500" w:lineRule="exact"/>
        <w:ind w:firstLine="480"/>
        <w:jc w:val="left"/>
        <w:rPr>
          <w:rStyle w:val="205"/>
          <w:rFonts w:ascii="宋体" w:hAnsi="宋体" w:eastAsia="宋体" w:cs="宋体"/>
          <w:bCs/>
          <w:sz w:val="24"/>
        </w:rPr>
      </w:pPr>
      <w:r>
        <w:rPr>
          <w:rFonts w:hint="eastAsia" w:ascii="宋体" w:hAnsi="宋体" w:eastAsia="宋体" w:cs="宋体"/>
          <w:bCs/>
          <w:sz w:val="24"/>
        </w:rPr>
        <w:t>②公厕保洁应</w:t>
      </w:r>
      <w:r>
        <w:rPr>
          <w:rStyle w:val="205"/>
          <w:rFonts w:hint="eastAsia" w:ascii="宋体" w:hAnsi="宋体" w:eastAsia="宋体" w:cs="宋体"/>
          <w:spacing w:val="-6"/>
          <w:sz w:val="24"/>
        </w:rPr>
        <w:t>达到</w:t>
      </w:r>
      <w:r>
        <w:rPr>
          <w:rFonts w:hint="eastAsia" w:ascii="宋体" w:hAnsi="宋体" w:eastAsia="宋体" w:cs="宋体"/>
          <w:sz w:val="24"/>
        </w:rPr>
        <w:t>十无</w:t>
      </w:r>
      <w:r>
        <w:rPr>
          <w:rStyle w:val="205"/>
          <w:rFonts w:hint="eastAsia" w:ascii="宋体" w:hAnsi="宋体" w:eastAsia="宋体" w:cs="宋体"/>
          <w:spacing w:val="-6"/>
          <w:sz w:val="24"/>
        </w:rPr>
        <w:t>质量</w:t>
      </w:r>
      <w:r>
        <w:rPr>
          <w:rFonts w:hint="eastAsia" w:ascii="宋体" w:hAnsi="宋体" w:eastAsia="宋体" w:cs="宋体"/>
          <w:sz w:val="24"/>
        </w:rPr>
        <w:t>标准，即：</w:t>
      </w:r>
      <w:r>
        <w:rPr>
          <w:rStyle w:val="205"/>
          <w:rFonts w:hint="eastAsia" w:ascii="宋体" w:hAnsi="宋体" w:eastAsia="宋体" w:cs="宋体"/>
          <w:spacing w:val="-6"/>
          <w:sz w:val="24"/>
        </w:rPr>
        <w:t>无蛛网、无积尘、无积水、无乱涂、无痰迹、无尿碱、无积粪、无杂物、无蛆蛹、无污迹。</w:t>
      </w:r>
    </w:p>
    <w:p w14:paraId="0370758F">
      <w:pPr>
        <w:spacing w:line="500" w:lineRule="exact"/>
        <w:ind w:firstLine="360"/>
        <w:jc w:val="left"/>
        <w:rPr>
          <w:rFonts w:ascii="宋体" w:hAnsi="宋体" w:eastAsia="宋体" w:cs="宋体"/>
          <w:sz w:val="24"/>
        </w:rPr>
      </w:pPr>
      <w:r>
        <w:rPr>
          <w:rFonts w:hint="eastAsia" w:ascii="宋体" w:hAnsi="宋体" w:eastAsia="宋体" w:cs="宋体"/>
          <w:sz w:val="24"/>
        </w:rPr>
        <w:t>③开放要求：各类公厕实行24小时免费开放，保洁时间：5：30-22：30。保洁人员应着工作服并保持衣着整洁，文明作业；公厕无障碍卫生间正常开放，不得随意关停或挪作他用，无法正常开放时，应公示停用原因及期限。</w:t>
      </w:r>
    </w:p>
    <w:p w14:paraId="73EC5B57">
      <w:pPr>
        <w:spacing w:line="500" w:lineRule="exact"/>
        <w:ind w:firstLine="360"/>
        <w:jc w:val="left"/>
        <w:rPr>
          <w:rFonts w:ascii="宋体" w:hAnsi="宋体" w:eastAsia="宋体" w:cs="宋体"/>
          <w:sz w:val="24"/>
        </w:rPr>
      </w:pPr>
      <w:r>
        <w:rPr>
          <w:rFonts w:hint="eastAsia" w:ascii="宋体" w:hAnsi="宋体" w:eastAsia="宋体" w:cs="宋体"/>
          <w:sz w:val="24"/>
        </w:rPr>
        <w:t xml:space="preserve">④内外环境：内部无明显异味，无蚊蝇、蛆虫；地面无破损、泛沙、污渍、痰迹、积灰、积水及废弃物等；残疾通道（无障碍通道）畅通、完好；内外墙面、天花板、门窗和隔断板无积灰、污迹、水渍、蛛网、乱涂乱画、吊挂。  </w:t>
      </w:r>
    </w:p>
    <w:p w14:paraId="522DB593">
      <w:pPr>
        <w:spacing w:line="500" w:lineRule="exact"/>
        <w:ind w:firstLine="480"/>
        <w:rPr>
          <w:rFonts w:ascii="宋体" w:hAnsi="宋体" w:eastAsia="宋体" w:cs="宋体"/>
          <w:sz w:val="24"/>
        </w:rPr>
      </w:pPr>
      <w:r>
        <w:rPr>
          <w:rFonts w:hint="eastAsia" w:ascii="宋体" w:hAnsi="宋体" w:eastAsia="宋体" w:cs="宋体"/>
          <w:sz w:val="24"/>
        </w:rPr>
        <w:t>⑤相关要求：公厕专人值守，此项目</w:t>
      </w:r>
      <w:r>
        <w:rPr>
          <w:rFonts w:hint="eastAsia" w:ascii="宋体" w:hAnsi="宋体" w:eastAsia="宋体" w:cs="宋体"/>
          <w:bCs/>
          <w:sz w:val="24"/>
        </w:rPr>
        <w:t>最低人数要求</w:t>
      </w:r>
      <w:r>
        <w:rPr>
          <w:rFonts w:hint="eastAsia" w:ascii="宋体" w:hAnsi="宋体" w:eastAsia="宋体" w:cs="宋体"/>
          <w:sz w:val="24"/>
        </w:rPr>
        <w:t>15人（含公厕维修人员1名），</w:t>
      </w:r>
      <w:r>
        <w:rPr>
          <w:rFonts w:hint="eastAsia" w:ascii="宋体" w:hAnsi="宋体" w:eastAsia="宋体" w:cs="宋体"/>
          <w:bCs/>
          <w:sz w:val="24"/>
        </w:rPr>
        <w:t>管理及其他人员由中标单位另外自行安排。</w:t>
      </w:r>
    </w:p>
    <w:p w14:paraId="481FF40F">
      <w:pPr>
        <w:spacing w:line="500" w:lineRule="exact"/>
        <w:ind w:firstLine="480"/>
        <w:rPr>
          <w:rFonts w:ascii="宋体" w:hAnsi="宋体" w:eastAsia="宋体" w:cs="宋体"/>
          <w:sz w:val="24"/>
        </w:rPr>
      </w:pPr>
      <w:r>
        <w:rPr>
          <w:rFonts w:hint="eastAsia" w:ascii="宋体" w:hAnsi="宋体" w:eastAsia="宋体" w:cs="宋体"/>
          <w:sz w:val="24"/>
        </w:rPr>
        <w:t>7、采购需求的所有费用包括厕所保洁所需水电费、下水道疏通费、下水道化粪池清掏清杂运输费、货物价格（含货物原价、手续费、运杂费、包装费、上下装卸费、采购保管费、备品备件等）、安装费、运输费（含上下货力资费）、吸粪费、公共厕所看护费、保洁机械设备工具用具费、各种材料费、各种保险费，所有人员的工资、加班费、社保、福利费、公众责任保险费、社会保险、住房公积金、残疾人保证金、高温费、体检费、工具费、工作服费用、职工带薪休假费用、合同期满后根据劳动法解除人员的经济补偿金、劳保用品费用，投标人拟投入本项目各类设施设备的折旧费、维修费等相关费用，还应包括：管理、劳务、培训、风险、税金、合理利润、评审费、采购代理服务费、不可预见费用及政策性文件规定等所需的全部费用的价格体现，凡漏项或少计均视为优惠，招标人不另行增加费用。各投标人自行根据招标人提供的服务内容、招标文件等资料要求，并根据市场行情、结合自身公司实力、管理水平等因素，按要求进行报价。</w:t>
      </w:r>
    </w:p>
    <w:p w14:paraId="51C00874">
      <w:pPr>
        <w:spacing w:line="500" w:lineRule="exact"/>
        <w:ind w:firstLine="480"/>
        <w:rPr>
          <w:rFonts w:hint="eastAsia" w:ascii="宋体" w:hAnsi="宋体" w:eastAsia="宋体" w:cs="宋体"/>
          <w:sz w:val="24"/>
          <w:lang w:val="zh-CN"/>
        </w:rPr>
      </w:pPr>
      <w:r>
        <w:rPr>
          <w:rFonts w:hint="eastAsia" w:ascii="宋体" w:hAnsi="宋体" w:eastAsia="宋体" w:cs="宋体"/>
          <w:sz w:val="24"/>
          <w:lang w:val="zh-CN"/>
        </w:rPr>
        <w:t>测算费用时必须严格按照国家最新的相关法律、法规、同类项目管理成本及盐城市劳动用人规定测算人员工资成本、加班工资、保险及其他费用等，否则作废标处理不予接受。用工制度必须按国家《劳动法》、《江苏省劳动管理条例》有关规定执行。</w:t>
      </w:r>
    </w:p>
    <w:p w14:paraId="776E0810">
      <w:pPr>
        <w:spacing w:line="500" w:lineRule="exact"/>
        <w:ind w:firstLine="480"/>
        <w:rPr>
          <w:rFonts w:ascii="宋体" w:hAnsi="宋体" w:eastAsia="宋体" w:cs="宋体"/>
          <w:sz w:val="24"/>
        </w:rPr>
      </w:pPr>
      <w:r>
        <w:rPr>
          <w:rFonts w:hint="eastAsia" w:ascii="宋体" w:hAnsi="宋体" w:eastAsia="宋体" w:cs="宋体"/>
          <w:sz w:val="24"/>
        </w:rPr>
        <w:t>五、29座公厕基本情况</w:t>
      </w:r>
    </w:p>
    <w:tbl>
      <w:tblPr>
        <w:tblStyle w:val="40"/>
        <w:tblpPr w:leftFromText="180" w:rightFromText="180" w:vertAnchor="text" w:horzAnchor="page" w:tblpXSpec="center" w:tblpY="601"/>
        <w:tblW w:w="5038" w:type="pct"/>
        <w:jc w:val="center"/>
        <w:tblLayout w:type="fixed"/>
        <w:tblCellMar>
          <w:top w:w="0" w:type="dxa"/>
          <w:left w:w="108" w:type="dxa"/>
          <w:bottom w:w="0" w:type="dxa"/>
          <w:right w:w="108" w:type="dxa"/>
        </w:tblCellMar>
      </w:tblPr>
      <w:tblGrid>
        <w:gridCol w:w="752"/>
        <w:gridCol w:w="2903"/>
        <w:gridCol w:w="707"/>
        <w:gridCol w:w="709"/>
        <w:gridCol w:w="1424"/>
        <w:gridCol w:w="3720"/>
      </w:tblGrid>
      <w:tr w14:paraId="004AE2E1">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46D7B2FE">
            <w:pPr>
              <w:widowControl/>
              <w:spacing w:line="400" w:lineRule="exact"/>
              <w:jc w:val="center"/>
              <w:rPr>
                <w:rFonts w:ascii="宋体" w:hAnsi="宋体" w:eastAsia="宋体" w:cs="宋体"/>
                <w:b/>
                <w:bCs/>
                <w:sz w:val="22"/>
                <w:szCs w:val="22"/>
              </w:rPr>
            </w:pPr>
            <w:r>
              <w:rPr>
                <w:rFonts w:hint="eastAsia" w:ascii="宋体" w:hAnsi="宋体" w:eastAsia="宋体" w:cs="宋体"/>
                <w:b/>
                <w:bCs/>
                <w:sz w:val="22"/>
                <w:szCs w:val="22"/>
              </w:rPr>
              <w:t>序号</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544B2254">
            <w:pPr>
              <w:widowControl/>
              <w:spacing w:line="400" w:lineRule="exact"/>
              <w:jc w:val="center"/>
              <w:rPr>
                <w:rFonts w:ascii="宋体" w:hAnsi="宋体" w:eastAsia="宋体" w:cs="宋体"/>
                <w:b/>
                <w:bCs/>
                <w:sz w:val="22"/>
                <w:szCs w:val="22"/>
              </w:rPr>
            </w:pPr>
            <w:r>
              <w:rPr>
                <w:rFonts w:hint="eastAsia" w:ascii="宋体" w:hAnsi="宋体" w:eastAsia="宋体" w:cs="宋体"/>
                <w:b/>
                <w:bCs/>
                <w:sz w:val="22"/>
                <w:szCs w:val="22"/>
              </w:rPr>
              <w:t>公厕编号</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0CDF6102">
            <w:pPr>
              <w:widowControl/>
              <w:jc w:val="center"/>
              <w:rPr>
                <w:rFonts w:ascii="宋体" w:hAnsi="宋体" w:eastAsia="宋体" w:cs="宋体"/>
                <w:b/>
                <w:bCs/>
                <w:sz w:val="22"/>
                <w:szCs w:val="22"/>
              </w:rPr>
            </w:pPr>
            <w:r>
              <w:rPr>
                <w:rFonts w:hint="eastAsia" w:ascii="宋体" w:hAnsi="宋体" w:eastAsia="宋体" w:cs="宋体"/>
                <w:b/>
                <w:bCs/>
                <w:sz w:val="24"/>
              </w:rPr>
              <w:t>单位</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067E326A">
            <w:pPr>
              <w:widowControl/>
              <w:jc w:val="center"/>
              <w:rPr>
                <w:rFonts w:ascii="宋体" w:hAnsi="宋体" w:eastAsia="宋体" w:cs="宋体"/>
                <w:b/>
                <w:bCs/>
                <w:sz w:val="22"/>
                <w:szCs w:val="22"/>
              </w:rPr>
            </w:pPr>
            <w:r>
              <w:rPr>
                <w:rFonts w:hint="eastAsia" w:ascii="宋体" w:hAnsi="宋体" w:eastAsia="宋体" w:cs="宋体"/>
                <w:b/>
                <w:bCs/>
                <w:sz w:val="24"/>
              </w:rPr>
              <w:t>数量</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2C417736">
            <w:pPr>
              <w:widowControl/>
              <w:jc w:val="center"/>
              <w:rPr>
                <w:rFonts w:ascii="宋体" w:hAnsi="宋体" w:eastAsia="宋体" w:cs="宋体"/>
                <w:b/>
                <w:bCs/>
                <w:sz w:val="22"/>
                <w:szCs w:val="22"/>
              </w:rPr>
            </w:pPr>
            <w:r>
              <w:rPr>
                <w:rFonts w:hint="eastAsia" w:ascii="宋体" w:hAnsi="宋体" w:eastAsia="宋体" w:cs="宋体"/>
                <w:b/>
                <w:bCs/>
                <w:sz w:val="24"/>
              </w:rPr>
              <w:t>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19ABF21B">
            <w:pPr>
              <w:widowControl/>
              <w:jc w:val="center"/>
              <w:rPr>
                <w:rFonts w:ascii="宋体" w:hAnsi="宋体" w:eastAsia="宋体" w:cs="宋体"/>
                <w:b/>
                <w:bCs/>
                <w:sz w:val="24"/>
              </w:rPr>
            </w:pPr>
            <w:r>
              <w:rPr>
                <w:rFonts w:hint="eastAsia" w:ascii="宋体" w:hAnsi="宋体" w:eastAsia="宋体" w:cs="宋体"/>
                <w:b/>
                <w:bCs/>
                <w:sz w:val="24"/>
              </w:rPr>
              <w:t>具体位置</w:t>
            </w:r>
          </w:p>
        </w:tc>
      </w:tr>
      <w:tr w14:paraId="1804A4BE">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13F980C5">
            <w:pPr>
              <w:widowControl/>
              <w:jc w:val="center"/>
              <w:rPr>
                <w:rFonts w:ascii="宋体" w:hAnsi="宋体" w:eastAsia="宋体" w:cs="宋体"/>
                <w:sz w:val="24"/>
              </w:rPr>
            </w:pPr>
            <w:r>
              <w:rPr>
                <w:rFonts w:hint="eastAsia" w:ascii="宋体" w:hAnsi="宋体" w:eastAsia="宋体" w:cs="宋体"/>
                <w:sz w:val="24"/>
              </w:rPr>
              <w:t>1</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5C171464">
            <w:pPr>
              <w:widowControl/>
              <w:jc w:val="center"/>
              <w:rPr>
                <w:rFonts w:ascii="宋体" w:hAnsi="宋体" w:eastAsia="宋体" w:cs="宋体"/>
                <w:sz w:val="22"/>
                <w:szCs w:val="22"/>
              </w:rPr>
            </w:pPr>
            <w:r>
              <w:rPr>
                <w:rFonts w:ascii="宋体" w:hAnsi="宋体" w:eastAsia="宋体" w:cs="宋体"/>
                <w:sz w:val="22"/>
                <w:szCs w:val="22"/>
              </w:rPr>
              <w:t>2001</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72443EA4">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5B932DDE">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6622AEFD">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659DA8D0">
            <w:pPr>
              <w:widowControl/>
              <w:jc w:val="left"/>
              <w:rPr>
                <w:rFonts w:ascii="宋体" w:hAnsi="宋体" w:eastAsia="宋体" w:cs="宋体"/>
                <w:sz w:val="24"/>
              </w:rPr>
            </w:pPr>
            <w:r>
              <w:rPr>
                <w:rFonts w:hint="eastAsia" w:ascii="宋体" w:hAnsi="宋体" w:eastAsia="宋体" w:cs="宋体"/>
                <w:sz w:val="24"/>
              </w:rPr>
              <w:t>六合桥巷5号东</w:t>
            </w:r>
          </w:p>
        </w:tc>
      </w:tr>
      <w:tr w14:paraId="506358A9">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35CE588B">
            <w:pPr>
              <w:widowControl/>
              <w:jc w:val="center"/>
              <w:rPr>
                <w:rFonts w:ascii="宋体" w:hAnsi="宋体" w:eastAsia="宋体" w:cs="宋体"/>
                <w:sz w:val="24"/>
              </w:rPr>
            </w:pPr>
            <w:r>
              <w:rPr>
                <w:rFonts w:hint="eastAsia" w:ascii="宋体" w:hAnsi="宋体" w:eastAsia="宋体" w:cs="宋体"/>
                <w:sz w:val="24"/>
              </w:rPr>
              <w:t>2</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771E9392">
            <w:pPr>
              <w:widowControl/>
              <w:jc w:val="center"/>
              <w:rPr>
                <w:rFonts w:ascii="宋体" w:hAnsi="宋体" w:eastAsia="宋体" w:cs="宋体"/>
                <w:sz w:val="22"/>
                <w:szCs w:val="22"/>
              </w:rPr>
            </w:pPr>
            <w:r>
              <w:rPr>
                <w:rFonts w:hint="eastAsia" w:ascii="宋体" w:hAnsi="宋体" w:eastAsia="宋体" w:cs="宋体"/>
                <w:sz w:val="22"/>
                <w:szCs w:val="22"/>
              </w:rPr>
              <w:t>2002</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7E61E0C3">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6DB92B42">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62F9CA99">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691940DB">
            <w:pPr>
              <w:widowControl/>
              <w:jc w:val="left"/>
              <w:rPr>
                <w:rFonts w:ascii="宋体" w:hAnsi="宋体" w:eastAsia="宋体" w:cs="宋体"/>
                <w:sz w:val="24"/>
              </w:rPr>
            </w:pPr>
            <w:r>
              <w:rPr>
                <w:rFonts w:hint="eastAsia" w:ascii="宋体" w:hAnsi="宋体" w:eastAsia="宋体" w:cs="宋体"/>
                <w:sz w:val="24"/>
              </w:rPr>
              <w:t>六合桥巷5号西</w:t>
            </w:r>
          </w:p>
        </w:tc>
      </w:tr>
      <w:tr w14:paraId="3E3653EE">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17D99DA7">
            <w:pPr>
              <w:widowControl/>
              <w:jc w:val="center"/>
              <w:rPr>
                <w:rFonts w:ascii="宋体" w:hAnsi="宋体" w:eastAsia="宋体" w:cs="宋体"/>
                <w:sz w:val="24"/>
              </w:rPr>
            </w:pPr>
            <w:r>
              <w:rPr>
                <w:rFonts w:hint="eastAsia" w:ascii="宋体" w:hAnsi="宋体" w:eastAsia="宋体" w:cs="宋体"/>
                <w:sz w:val="24"/>
              </w:rPr>
              <w:t>3</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3627560D">
            <w:pPr>
              <w:widowControl/>
              <w:jc w:val="center"/>
              <w:rPr>
                <w:rFonts w:ascii="宋体" w:hAnsi="宋体" w:eastAsia="宋体" w:cs="宋体"/>
                <w:sz w:val="22"/>
                <w:szCs w:val="22"/>
              </w:rPr>
            </w:pPr>
            <w:r>
              <w:rPr>
                <w:rFonts w:hint="eastAsia" w:ascii="宋体" w:hAnsi="宋体" w:eastAsia="宋体" w:cs="宋体"/>
                <w:sz w:val="22"/>
                <w:szCs w:val="22"/>
              </w:rPr>
              <w:t>2003</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478AB9AE">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776C3817">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0CD00D02">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2881E28F">
            <w:pPr>
              <w:widowControl/>
              <w:jc w:val="left"/>
              <w:rPr>
                <w:rFonts w:ascii="宋体" w:hAnsi="宋体" w:eastAsia="宋体" w:cs="宋体"/>
                <w:sz w:val="24"/>
              </w:rPr>
            </w:pPr>
            <w:r>
              <w:rPr>
                <w:rFonts w:hint="eastAsia" w:ascii="宋体" w:hAnsi="宋体" w:eastAsia="宋体" w:cs="宋体"/>
                <w:sz w:val="24"/>
              </w:rPr>
              <w:t>育才路2号粮食车队内</w:t>
            </w:r>
          </w:p>
        </w:tc>
      </w:tr>
      <w:tr w14:paraId="74047B14">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2BD66C7B">
            <w:pPr>
              <w:widowControl/>
              <w:jc w:val="center"/>
              <w:rPr>
                <w:rFonts w:ascii="宋体" w:hAnsi="宋体" w:eastAsia="宋体" w:cs="宋体"/>
                <w:sz w:val="24"/>
              </w:rPr>
            </w:pPr>
            <w:r>
              <w:rPr>
                <w:rFonts w:hint="eastAsia" w:ascii="宋体" w:hAnsi="宋体" w:eastAsia="宋体" w:cs="宋体"/>
                <w:sz w:val="24"/>
              </w:rPr>
              <w:t>4</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63AAF7D0">
            <w:pPr>
              <w:widowControl/>
              <w:jc w:val="center"/>
              <w:rPr>
                <w:rFonts w:ascii="宋体" w:hAnsi="宋体" w:eastAsia="宋体" w:cs="宋体"/>
                <w:sz w:val="22"/>
                <w:szCs w:val="22"/>
              </w:rPr>
            </w:pPr>
            <w:r>
              <w:rPr>
                <w:rFonts w:hint="eastAsia" w:ascii="宋体" w:hAnsi="宋体" w:eastAsia="宋体" w:cs="宋体"/>
                <w:sz w:val="22"/>
                <w:szCs w:val="22"/>
              </w:rPr>
              <w:t>2004</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47B6A2B9">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23216218">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03C9021E">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5CC80341">
            <w:pPr>
              <w:widowControl/>
              <w:jc w:val="left"/>
              <w:rPr>
                <w:rFonts w:ascii="宋体" w:hAnsi="宋体" w:eastAsia="宋体" w:cs="宋体"/>
                <w:sz w:val="24"/>
              </w:rPr>
            </w:pPr>
            <w:r>
              <w:rPr>
                <w:rFonts w:hint="eastAsia" w:ascii="宋体" w:hAnsi="宋体" w:eastAsia="宋体" w:cs="宋体"/>
                <w:sz w:val="24"/>
              </w:rPr>
              <w:t>梅苑新邨</w:t>
            </w:r>
          </w:p>
        </w:tc>
      </w:tr>
      <w:tr w14:paraId="5EA7237D">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23799C24">
            <w:pPr>
              <w:widowControl/>
              <w:jc w:val="center"/>
              <w:rPr>
                <w:rFonts w:ascii="宋体" w:hAnsi="宋体" w:eastAsia="宋体" w:cs="宋体"/>
                <w:sz w:val="22"/>
                <w:szCs w:val="22"/>
              </w:rPr>
            </w:pPr>
            <w:r>
              <w:rPr>
                <w:rFonts w:hint="eastAsia" w:ascii="宋体" w:hAnsi="宋体" w:eastAsia="宋体" w:cs="宋体"/>
                <w:sz w:val="22"/>
                <w:szCs w:val="22"/>
              </w:rPr>
              <w:t>5</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44195EA3">
            <w:pPr>
              <w:widowControl/>
              <w:jc w:val="center"/>
              <w:rPr>
                <w:rFonts w:ascii="宋体" w:hAnsi="宋体" w:eastAsia="宋体" w:cs="宋体"/>
                <w:sz w:val="22"/>
                <w:szCs w:val="22"/>
              </w:rPr>
            </w:pPr>
            <w:r>
              <w:rPr>
                <w:rFonts w:hint="eastAsia" w:ascii="宋体" w:hAnsi="宋体" w:eastAsia="宋体" w:cs="宋体"/>
                <w:sz w:val="22"/>
                <w:szCs w:val="22"/>
              </w:rPr>
              <w:t>2005</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20E3C5FA">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5BABF9AD">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06CA8815">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5E459F8D">
            <w:pPr>
              <w:widowControl/>
              <w:jc w:val="left"/>
              <w:rPr>
                <w:rFonts w:ascii="宋体" w:hAnsi="宋体" w:eastAsia="宋体" w:cs="宋体"/>
                <w:sz w:val="24"/>
              </w:rPr>
            </w:pPr>
            <w:r>
              <w:rPr>
                <w:rFonts w:hint="eastAsia" w:ascii="宋体" w:hAnsi="宋体" w:eastAsia="宋体" w:cs="宋体"/>
                <w:sz w:val="24"/>
              </w:rPr>
              <w:t>文港南路18号</w:t>
            </w:r>
          </w:p>
        </w:tc>
      </w:tr>
      <w:tr w14:paraId="123CD666">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7840C091">
            <w:pPr>
              <w:widowControl/>
              <w:jc w:val="center"/>
              <w:rPr>
                <w:rFonts w:ascii="宋体" w:hAnsi="宋体" w:eastAsia="宋体" w:cs="宋体"/>
                <w:sz w:val="22"/>
                <w:szCs w:val="22"/>
              </w:rPr>
            </w:pPr>
            <w:r>
              <w:rPr>
                <w:rFonts w:hint="eastAsia" w:ascii="宋体" w:hAnsi="宋体" w:eastAsia="宋体" w:cs="宋体"/>
                <w:sz w:val="22"/>
                <w:szCs w:val="22"/>
              </w:rPr>
              <w:t>6</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0909B569">
            <w:pPr>
              <w:widowControl/>
              <w:jc w:val="center"/>
              <w:rPr>
                <w:rFonts w:ascii="宋体" w:hAnsi="宋体" w:eastAsia="宋体" w:cs="宋体"/>
                <w:sz w:val="22"/>
                <w:szCs w:val="22"/>
              </w:rPr>
            </w:pPr>
            <w:r>
              <w:rPr>
                <w:rFonts w:hint="eastAsia" w:ascii="宋体" w:hAnsi="宋体" w:eastAsia="宋体" w:cs="宋体"/>
                <w:sz w:val="22"/>
                <w:szCs w:val="22"/>
              </w:rPr>
              <w:t>2006</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77EDD964">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32E4F388">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07196274">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72EEE5F9">
            <w:pPr>
              <w:widowControl/>
              <w:jc w:val="left"/>
              <w:rPr>
                <w:rFonts w:ascii="宋体" w:hAnsi="宋体" w:eastAsia="宋体" w:cs="宋体"/>
                <w:sz w:val="24"/>
              </w:rPr>
            </w:pPr>
            <w:r>
              <w:rPr>
                <w:rFonts w:hint="eastAsia" w:ascii="宋体" w:hAnsi="宋体" w:eastAsia="宋体" w:cs="宋体"/>
                <w:sz w:val="24"/>
              </w:rPr>
              <w:t>建军东路127号</w:t>
            </w:r>
          </w:p>
        </w:tc>
      </w:tr>
      <w:tr w14:paraId="701A33D0">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77933709">
            <w:pPr>
              <w:widowControl/>
              <w:jc w:val="center"/>
              <w:rPr>
                <w:rFonts w:ascii="宋体" w:hAnsi="宋体" w:eastAsia="宋体" w:cs="宋体"/>
                <w:sz w:val="22"/>
                <w:szCs w:val="22"/>
              </w:rPr>
            </w:pPr>
            <w:r>
              <w:rPr>
                <w:rFonts w:hint="eastAsia" w:ascii="宋体" w:hAnsi="宋体" w:eastAsia="宋体" w:cs="宋体"/>
                <w:sz w:val="22"/>
                <w:szCs w:val="22"/>
              </w:rPr>
              <w:t>7</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76D9DEE0">
            <w:pPr>
              <w:widowControl/>
              <w:jc w:val="center"/>
              <w:rPr>
                <w:rFonts w:ascii="宋体" w:hAnsi="宋体" w:eastAsia="宋体" w:cs="宋体"/>
                <w:sz w:val="22"/>
                <w:szCs w:val="22"/>
              </w:rPr>
            </w:pPr>
            <w:r>
              <w:rPr>
                <w:rFonts w:hint="eastAsia" w:ascii="宋体" w:hAnsi="宋体" w:eastAsia="宋体" w:cs="宋体"/>
                <w:sz w:val="22"/>
                <w:szCs w:val="22"/>
              </w:rPr>
              <w:t>2007</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2D9B7662">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0F7F0650">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0CF750FA">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49606EFA">
            <w:pPr>
              <w:widowControl/>
              <w:jc w:val="left"/>
              <w:rPr>
                <w:rFonts w:ascii="宋体" w:hAnsi="宋体" w:eastAsia="宋体" w:cs="宋体"/>
                <w:sz w:val="24"/>
              </w:rPr>
            </w:pPr>
            <w:r>
              <w:rPr>
                <w:rFonts w:hint="eastAsia" w:ascii="宋体" w:hAnsi="宋体" w:eastAsia="宋体" w:cs="宋体"/>
                <w:sz w:val="24"/>
              </w:rPr>
              <w:t>大星二组东</w:t>
            </w:r>
          </w:p>
        </w:tc>
      </w:tr>
      <w:tr w14:paraId="72909FC8">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6695E817">
            <w:pPr>
              <w:widowControl/>
              <w:jc w:val="center"/>
              <w:rPr>
                <w:rFonts w:ascii="宋体" w:hAnsi="宋体" w:eastAsia="宋体" w:cs="宋体"/>
                <w:sz w:val="22"/>
                <w:szCs w:val="22"/>
              </w:rPr>
            </w:pPr>
            <w:r>
              <w:rPr>
                <w:rFonts w:hint="eastAsia" w:ascii="宋体" w:hAnsi="宋体" w:eastAsia="宋体" w:cs="宋体"/>
                <w:sz w:val="22"/>
                <w:szCs w:val="22"/>
              </w:rPr>
              <w:t>8</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7FE30DE6">
            <w:pPr>
              <w:widowControl/>
              <w:jc w:val="center"/>
              <w:rPr>
                <w:rFonts w:ascii="宋体" w:hAnsi="宋体" w:eastAsia="宋体" w:cs="宋体"/>
                <w:sz w:val="22"/>
                <w:szCs w:val="22"/>
              </w:rPr>
            </w:pPr>
            <w:r>
              <w:rPr>
                <w:rFonts w:hint="eastAsia" w:ascii="宋体" w:hAnsi="宋体" w:eastAsia="宋体" w:cs="宋体"/>
                <w:sz w:val="22"/>
                <w:szCs w:val="22"/>
              </w:rPr>
              <w:t>2008</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355BE65A">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03369077">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4E0D33EC">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187C3D67">
            <w:pPr>
              <w:widowControl/>
              <w:jc w:val="left"/>
              <w:rPr>
                <w:rFonts w:ascii="宋体" w:hAnsi="宋体" w:eastAsia="宋体" w:cs="宋体"/>
                <w:sz w:val="24"/>
              </w:rPr>
            </w:pPr>
            <w:r>
              <w:rPr>
                <w:rFonts w:hint="eastAsia" w:ascii="宋体" w:hAnsi="宋体" w:eastAsia="宋体" w:cs="宋体"/>
                <w:sz w:val="24"/>
              </w:rPr>
              <w:t>悦泰路北巷2号东</w:t>
            </w:r>
          </w:p>
        </w:tc>
      </w:tr>
      <w:tr w14:paraId="5BC97FC1">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6115DCBD">
            <w:pPr>
              <w:widowControl/>
              <w:jc w:val="center"/>
              <w:rPr>
                <w:rFonts w:ascii="宋体" w:hAnsi="宋体" w:eastAsia="宋体" w:cs="宋体"/>
                <w:sz w:val="24"/>
              </w:rPr>
            </w:pPr>
            <w:r>
              <w:rPr>
                <w:rFonts w:hint="eastAsia" w:ascii="宋体" w:hAnsi="宋体" w:eastAsia="宋体" w:cs="宋体"/>
                <w:sz w:val="24"/>
              </w:rPr>
              <w:t>9</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2371F672">
            <w:pPr>
              <w:widowControl/>
              <w:jc w:val="center"/>
              <w:rPr>
                <w:rFonts w:ascii="宋体" w:hAnsi="宋体" w:eastAsia="宋体" w:cs="宋体"/>
                <w:sz w:val="22"/>
                <w:szCs w:val="22"/>
              </w:rPr>
            </w:pPr>
            <w:r>
              <w:rPr>
                <w:rFonts w:hint="eastAsia" w:ascii="宋体" w:hAnsi="宋体" w:eastAsia="宋体" w:cs="宋体"/>
                <w:sz w:val="22"/>
                <w:szCs w:val="22"/>
              </w:rPr>
              <w:t>2009</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7B701F5B">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15F73C0C">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115C5DF5">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5BEF0B75">
            <w:pPr>
              <w:widowControl/>
              <w:jc w:val="left"/>
              <w:rPr>
                <w:rFonts w:ascii="宋体" w:hAnsi="宋体" w:eastAsia="宋体" w:cs="宋体"/>
                <w:sz w:val="24"/>
              </w:rPr>
            </w:pPr>
            <w:r>
              <w:rPr>
                <w:rFonts w:hint="eastAsia" w:ascii="宋体" w:hAnsi="宋体" w:eastAsia="宋体" w:cs="宋体"/>
                <w:sz w:val="24"/>
              </w:rPr>
              <w:t>悦泰路北一巷18号</w:t>
            </w:r>
          </w:p>
        </w:tc>
      </w:tr>
      <w:tr w14:paraId="38EA1FC9">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0DB9F98E">
            <w:pPr>
              <w:widowControl/>
              <w:jc w:val="center"/>
              <w:rPr>
                <w:rFonts w:ascii="宋体" w:hAnsi="宋体" w:eastAsia="宋体" w:cs="宋体"/>
                <w:sz w:val="24"/>
              </w:rPr>
            </w:pPr>
            <w:r>
              <w:rPr>
                <w:rFonts w:hint="eastAsia" w:ascii="宋体" w:hAnsi="宋体" w:eastAsia="宋体" w:cs="宋体"/>
                <w:sz w:val="24"/>
              </w:rPr>
              <w:t>10</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5D3EE4F5">
            <w:pPr>
              <w:widowControl/>
              <w:jc w:val="center"/>
              <w:rPr>
                <w:rFonts w:ascii="宋体" w:hAnsi="宋体" w:eastAsia="宋体" w:cs="宋体"/>
                <w:sz w:val="22"/>
                <w:szCs w:val="22"/>
              </w:rPr>
            </w:pPr>
            <w:r>
              <w:rPr>
                <w:rFonts w:hint="eastAsia" w:ascii="宋体" w:hAnsi="宋体" w:eastAsia="宋体" w:cs="宋体"/>
                <w:sz w:val="22"/>
                <w:szCs w:val="22"/>
              </w:rPr>
              <w:t>2010</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187ADE10">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6A59F3E6">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6DB69FB8">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2A7765DB">
            <w:pPr>
              <w:widowControl/>
              <w:jc w:val="left"/>
              <w:rPr>
                <w:rFonts w:ascii="宋体" w:hAnsi="宋体" w:eastAsia="宋体" w:cs="宋体"/>
                <w:sz w:val="24"/>
              </w:rPr>
            </w:pPr>
            <w:r>
              <w:rPr>
                <w:rFonts w:hint="eastAsia" w:ascii="宋体" w:hAnsi="宋体" w:eastAsia="宋体" w:cs="宋体"/>
                <w:sz w:val="24"/>
              </w:rPr>
              <w:t>悦泰路北三巷南路边</w:t>
            </w:r>
          </w:p>
        </w:tc>
      </w:tr>
      <w:tr w14:paraId="5AD16B17">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0C3F0139">
            <w:pPr>
              <w:widowControl/>
              <w:jc w:val="center"/>
              <w:rPr>
                <w:rFonts w:ascii="宋体" w:hAnsi="宋体" w:eastAsia="宋体" w:cs="宋体"/>
                <w:sz w:val="24"/>
              </w:rPr>
            </w:pPr>
            <w:r>
              <w:rPr>
                <w:rFonts w:hint="eastAsia" w:ascii="宋体" w:hAnsi="宋体" w:eastAsia="宋体" w:cs="宋体"/>
                <w:sz w:val="24"/>
              </w:rPr>
              <w:t>11</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02508658">
            <w:pPr>
              <w:widowControl/>
              <w:jc w:val="center"/>
              <w:rPr>
                <w:rFonts w:ascii="宋体" w:hAnsi="宋体" w:eastAsia="宋体" w:cs="宋体"/>
                <w:sz w:val="22"/>
                <w:szCs w:val="22"/>
              </w:rPr>
            </w:pPr>
            <w:r>
              <w:rPr>
                <w:rFonts w:hint="eastAsia" w:ascii="宋体" w:hAnsi="宋体" w:eastAsia="宋体" w:cs="宋体"/>
                <w:sz w:val="22"/>
                <w:szCs w:val="22"/>
              </w:rPr>
              <w:t>2011</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09231B61">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525EB914">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4C3BAF90">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620522E6">
            <w:pPr>
              <w:widowControl/>
              <w:jc w:val="left"/>
              <w:rPr>
                <w:rFonts w:ascii="宋体" w:hAnsi="宋体" w:eastAsia="宋体" w:cs="宋体"/>
                <w:sz w:val="24"/>
              </w:rPr>
            </w:pPr>
            <w:r>
              <w:rPr>
                <w:rFonts w:hint="eastAsia" w:ascii="宋体" w:hAnsi="宋体" w:eastAsia="宋体" w:cs="宋体"/>
                <w:sz w:val="24"/>
              </w:rPr>
              <w:t>悦泰路北三巷</w:t>
            </w:r>
          </w:p>
        </w:tc>
      </w:tr>
      <w:tr w14:paraId="146B4B95">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29FC6439">
            <w:pPr>
              <w:widowControl/>
              <w:jc w:val="center"/>
              <w:rPr>
                <w:rFonts w:ascii="宋体" w:hAnsi="宋体" w:eastAsia="宋体" w:cs="宋体"/>
                <w:sz w:val="24"/>
              </w:rPr>
            </w:pPr>
            <w:r>
              <w:rPr>
                <w:rFonts w:hint="eastAsia" w:ascii="宋体" w:hAnsi="宋体" w:eastAsia="宋体" w:cs="宋体"/>
                <w:sz w:val="24"/>
              </w:rPr>
              <w:t>12</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188EC7CC">
            <w:pPr>
              <w:widowControl/>
              <w:jc w:val="center"/>
              <w:rPr>
                <w:rFonts w:ascii="宋体" w:hAnsi="宋体" w:eastAsia="宋体" w:cs="宋体"/>
                <w:sz w:val="22"/>
                <w:szCs w:val="22"/>
              </w:rPr>
            </w:pPr>
            <w:r>
              <w:rPr>
                <w:rFonts w:hint="eastAsia" w:ascii="宋体" w:hAnsi="宋体" w:eastAsia="宋体" w:cs="宋体"/>
                <w:sz w:val="22"/>
                <w:szCs w:val="22"/>
              </w:rPr>
              <w:t>2012</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4E62A69B">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2021F5B9">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7A029ADA">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5EEDD4D9">
            <w:pPr>
              <w:widowControl/>
              <w:jc w:val="left"/>
              <w:rPr>
                <w:rFonts w:ascii="宋体" w:hAnsi="宋体" w:eastAsia="宋体" w:cs="宋体"/>
                <w:sz w:val="24"/>
              </w:rPr>
            </w:pPr>
            <w:r>
              <w:rPr>
                <w:rFonts w:hint="eastAsia" w:ascii="宋体" w:hAnsi="宋体" w:eastAsia="宋体" w:cs="宋体"/>
                <w:sz w:val="24"/>
              </w:rPr>
              <w:t>悦泰路南五巷15号东</w:t>
            </w:r>
          </w:p>
        </w:tc>
      </w:tr>
      <w:tr w14:paraId="2AE0D89A">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4735E443">
            <w:pPr>
              <w:widowControl/>
              <w:jc w:val="center"/>
              <w:rPr>
                <w:rFonts w:ascii="宋体" w:hAnsi="宋体" w:eastAsia="宋体" w:cs="宋体"/>
                <w:sz w:val="24"/>
              </w:rPr>
            </w:pPr>
            <w:r>
              <w:rPr>
                <w:rFonts w:hint="eastAsia" w:ascii="宋体" w:hAnsi="宋体" w:eastAsia="宋体" w:cs="宋体"/>
                <w:sz w:val="24"/>
              </w:rPr>
              <w:t>13</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03ACD977">
            <w:pPr>
              <w:widowControl/>
              <w:jc w:val="center"/>
              <w:rPr>
                <w:rFonts w:ascii="宋体" w:hAnsi="宋体" w:eastAsia="宋体" w:cs="宋体"/>
                <w:sz w:val="22"/>
                <w:szCs w:val="22"/>
              </w:rPr>
            </w:pPr>
            <w:r>
              <w:rPr>
                <w:rFonts w:hint="eastAsia" w:ascii="宋体" w:hAnsi="宋体" w:eastAsia="宋体" w:cs="宋体"/>
                <w:sz w:val="22"/>
                <w:szCs w:val="22"/>
              </w:rPr>
              <w:t>2013</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7F5BC86C">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15A4210F">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2ACE6415">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359D35B5">
            <w:pPr>
              <w:widowControl/>
              <w:jc w:val="left"/>
              <w:rPr>
                <w:rFonts w:ascii="宋体" w:hAnsi="宋体" w:eastAsia="宋体" w:cs="宋体"/>
                <w:sz w:val="24"/>
              </w:rPr>
            </w:pPr>
            <w:r>
              <w:rPr>
                <w:rFonts w:hint="eastAsia" w:ascii="宋体" w:hAnsi="宋体" w:eastAsia="宋体" w:cs="宋体"/>
                <w:sz w:val="24"/>
              </w:rPr>
              <w:t>悦泰路南四巷南边</w:t>
            </w:r>
          </w:p>
        </w:tc>
      </w:tr>
      <w:tr w14:paraId="2CB551D8">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4E549DA9">
            <w:pPr>
              <w:widowControl/>
              <w:jc w:val="center"/>
              <w:rPr>
                <w:rFonts w:ascii="宋体" w:hAnsi="宋体" w:eastAsia="宋体" w:cs="宋体"/>
                <w:sz w:val="24"/>
              </w:rPr>
            </w:pPr>
            <w:r>
              <w:rPr>
                <w:rFonts w:hint="eastAsia" w:ascii="宋体" w:hAnsi="宋体" w:eastAsia="宋体" w:cs="宋体"/>
                <w:sz w:val="24"/>
              </w:rPr>
              <w:t>14</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50147337">
            <w:pPr>
              <w:widowControl/>
              <w:jc w:val="center"/>
              <w:rPr>
                <w:rFonts w:ascii="宋体" w:hAnsi="宋体" w:eastAsia="宋体" w:cs="宋体"/>
                <w:sz w:val="22"/>
                <w:szCs w:val="22"/>
              </w:rPr>
            </w:pPr>
            <w:r>
              <w:rPr>
                <w:rFonts w:hint="eastAsia" w:ascii="宋体" w:hAnsi="宋体" w:eastAsia="宋体" w:cs="宋体"/>
                <w:sz w:val="22"/>
                <w:szCs w:val="22"/>
              </w:rPr>
              <w:t>2014</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58E1D85C">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51DDB872">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4DF0129B">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013378BE">
            <w:pPr>
              <w:widowControl/>
              <w:jc w:val="left"/>
              <w:rPr>
                <w:rFonts w:ascii="宋体" w:hAnsi="宋体" w:eastAsia="宋体" w:cs="宋体"/>
                <w:sz w:val="24"/>
              </w:rPr>
            </w:pPr>
            <w:r>
              <w:rPr>
                <w:rFonts w:hint="eastAsia" w:ascii="宋体" w:hAnsi="宋体" w:eastAsia="宋体" w:cs="宋体"/>
                <w:sz w:val="24"/>
              </w:rPr>
              <w:t>盐城小学西大门</w:t>
            </w:r>
          </w:p>
        </w:tc>
      </w:tr>
      <w:tr w14:paraId="0F307E6A">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62F5590E">
            <w:pPr>
              <w:widowControl/>
              <w:jc w:val="center"/>
              <w:rPr>
                <w:rFonts w:ascii="宋体" w:hAnsi="宋体" w:eastAsia="宋体" w:cs="宋体"/>
                <w:sz w:val="24"/>
              </w:rPr>
            </w:pPr>
            <w:r>
              <w:rPr>
                <w:rFonts w:hint="eastAsia" w:ascii="宋体" w:hAnsi="宋体" w:eastAsia="宋体" w:cs="宋体"/>
                <w:sz w:val="24"/>
              </w:rPr>
              <w:t>15</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5C9AF8B0">
            <w:pPr>
              <w:widowControl/>
              <w:jc w:val="center"/>
              <w:rPr>
                <w:rFonts w:ascii="宋体" w:hAnsi="宋体" w:eastAsia="宋体" w:cs="宋体"/>
                <w:sz w:val="22"/>
                <w:szCs w:val="22"/>
              </w:rPr>
            </w:pPr>
            <w:r>
              <w:rPr>
                <w:rFonts w:hint="eastAsia" w:ascii="宋体" w:hAnsi="宋体" w:eastAsia="宋体" w:cs="宋体"/>
                <w:sz w:val="22"/>
                <w:szCs w:val="22"/>
              </w:rPr>
              <w:t>2015</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7553B6EC">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09D81C7D">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346444D6">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7848840B">
            <w:pPr>
              <w:widowControl/>
              <w:jc w:val="left"/>
              <w:rPr>
                <w:rFonts w:ascii="宋体" w:hAnsi="宋体" w:eastAsia="宋体" w:cs="宋体"/>
                <w:sz w:val="24"/>
              </w:rPr>
            </w:pPr>
            <w:r>
              <w:rPr>
                <w:rFonts w:hint="eastAsia" w:ascii="宋体" w:hAnsi="宋体" w:eastAsia="宋体" w:cs="宋体"/>
                <w:sz w:val="24"/>
              </w:rPr>
              <w:t>大洋村敬老院</w:t>
            </w:r>
          </w:p>
        </w:tc>
      </w:tr>
      <w:tr w14:paraId="432BB405">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4CEF0CE1">
            <w:pPr>
              <w:widowControl/>
              <w:jc w:val="center"/>
              <w:rPr>
                <w:rFonts w:ascii="宋体" w:hAnsi="宋体" w:eastAsia="宋体" w:cs="宋体"/>
                <w:sz w:val="24"/>
              </w:rPr>
            </w:pPr>
            <w:r>
              <w:rPr>
                <w:rFonts w:hint="eastAsia" w:ascii="宋体" w:hAnsi="宋体" w:eastAsia="宋体" w:cs="宋体"/>
                <w:sz w:val="24"/>
              </w:rPr>
              <w:t>16</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3929F1C0">
            <w:pPr>
              <w:widowControl/>
              <w:jc w:val="center"/>
              <w:rPr>
                <w:rFonts w:ascii="宋体" w:hAnsi="宋体" w:eastAsia="宋体" w:cs="宋体"/>
                <w:sz w:val="22"/>
                <w:szCs w:val="22"/>
              </w:rPr>
            </w:pPr>
            <w:r>
              <w:rPr>
                <w:rFonts w:hint="eastAsia" w:ascii="宋体" w:hAnsi="宋体" w:eastAsia="宋体" w:cs="宋体"/>
                <w:sz w:val="22"/>
                <w:szCs w:val="22"/>
              </w:rPr>
              <w:t>2016</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27D04373">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169AF001">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622368BA">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092E2458">
            <w:pPr>
              <w:widowControl/>
              <w:jc w:val="left"/>
              <w:rPr>
                <w:rFonts w:ascii="宋体" w:hAnsi="宋体" w:eastAsia="宋体" w:cs="宋体"/>
                <w:sz w:val="24"/>
              </w:rPr>
            </w:pPr>
            <w:r>
              <w:rPr>
                <w:rFonts w:hint="eastAsia" w:ascii="宋体" w:hAnsi="宋体" w:eastAsia="宋体" w:cs="宋体"/>
                <w:sz w:val="24"/>
              </w:rPr>
              <w:t>榆河路八巷11号</w:t>
            </w:r>
          </w:p>
        </w:tc>
      </w:tr>
      <w:tr w14:paraId="4B24BD60">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3A3F8038">
            <w:pPr>
              <w:widowControl/>
              <w:jc w:val="center"/>
              <w:rPr>
                <w:rFonts w:ascii="宋体" w:hAnsi="宋体" w:eastAsia="宋体" w:cs="宋体"/>
                <w:sz w:val="24"/>
              </w:rPr>
            </w:pPr>
            <w:r>
              <w:rPr>
                <w:rFonts w:hint="eastAsia" w:ascii="宋体" w:hAnsi="宋体" w:eastAsia="宋体" w:cs="宋体"/>
                <w:sz w:val="24"/>
              </w:rPr>
              <w:t>17</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748AD53A">
            <w:pPr>
              <w:widowControl/>
              <w:jc w:val="center"/>
              <w:rPr>
                <w:rFonts w:ascii="宋体" w:hAnsi="宋体" w:eastAsia="宋体" w:cs="宋体"/>
                <w:sz w:val="22"/>
                <w:szCs w:val="22"/>
              </w:rPr>
            </w:pPr>
            <w:r>
              <w:rPr>
                <w:rFonts w:hint="eastAsia" w:ascii="宋体" w:hAnsi="宋体" w:eastAsia="宋体" w:cs="宋体"/>
                <w:sz w:val="22"/>
                <w:szCs w:val="22"/>
              </w:rPr>
              <w:t>2017</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6BCD3DE3">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5AB3E170">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19F87670">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7C3FC686">
            <w:pPr>
              <w:widowControl/>
              <w:jc w:val="left"/>
              <w:rPr>
                <w:rFonts w:ascii="宋体" w:hAnsi="宋体" w:eastAsia="宋体" w:cs="宋体"/>
                <w:sz w:val="24"/>
              </w:rPr>
            </w:pPr>
            <w:r>
              <w:rPr>
                <w:rFonts w:hint="eastAsia" w:ascii="宋体" w:hAnsi="宋体" w:eastAsia="宋体" w:cs="宋体"/>
                <w:sz w:val="24"/>
              </w:rPr>
              <w:t>榆河路八巷29号</w:t>
            </w:r>
          </w:p>
        </w:tc>
      </w:tr>
      <w:tr w14:paraId="0ED45FAB">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2ACEA1D0">
            <w:pPr>
              <w:widowControl/>
              <w:jc w:val="center"/>
              <w:rPr>
                <w:rFonts w:ascii="宋体" w:hAnsi="宋体" w:eastAsia="宋体" w:cs="宋体"/>
                <w:sz w:val="24"/>
              </w:rPr>
            </w:pPr>
            <w:r>
              <w:rPr>
                <w:rFonts w:hint="eastAsia" w:ascii="宋体" w:hAnsi="宋体" w:eastAsia="宋体" w:cs="宋体"/>
                <w:sz w:val="24"/>
              </w:rPr>
              <w:t>18</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0483F036">
            <w:pPr>
              <w:widowControl/>
              <w:jc w:val="center"/>
              <w:rPr>
                <w:rFonts w:ascii="宋体" w:hAnsi="宋体" w:eastAsia="宋体" w:cs="宋体"/>
                <w:sz w:val="22"/>
                <w:szCs w:val="22"/>
              </w:rPr>
            </w:pPr>
            <w:r>
              <w:rPr>
                <w:rFonts w:hint="eastAsia" w:ascii="宋体" w:hAnsi="宋体" w:eastAsia="宋体" w:cs="宋体"/>
                <w:sz w:val="22"/>
                <w:szCs w:val="22"/>
              </w:rPr>
              <w:t>2018</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313D6061">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2DF059DF">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0808066E">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7F612075">
            <w:pPr>
              <w:widowControl/>
              <w:jc w:val="left"/>
              <w:rPr>
                <w:rFonts w:ascii="宋体" w:hAnsi="宋体" w:eastAsia="宋体" w:cs="宋体"/>
                <w:sz w:val="24"/>
              </w:rPr>
            </w:pPr>
            <w:r>
              <w:rPr>
                <w:rFonts w:hint="eastAsia" w:ascii="宋体" w:hAnsi="宋体" w:eastAsia="宋体" w:cs="宋体"/>
                <w:sz w:val="24"/>
              </w:rPr>
              <w:t>海龙路市场</w:t>
            </w:r>
          </w:p>
        </w:tc>
      </w:tr>
      <w:tr w14:paraId="473AB50F">
        <w:tblPrEx>
          <w:tblCellMar>
            <w:top w:w="0" w:type="dxa"/>
            <w:left w:w="108" w:type="dxa"/>
            <w:bottom w:w="0" w:type="dxa"/>
            <w:right w:w="108" w:type="dxa"/>
          </w:tblCellMar>
        </w:tblPrEx>
        <w:trPr>
          <w:trHeight w:val="430"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7666217F">
            <w:pPr>
              <w:widowControl/>
              <w:jc w:val="center"/>
              <w:rPr>
                <w:rFonts w:ascii="宋体" w:hAnsi="宋体" w:eastAsia="宋体" w:cs="宋体"/>
                <w:sz w:val="24"/>
              </w:rPr>
            </w:pPr>
            <w:r>
              <w:rPr>
                <w:rFonts w:hint="eastAsia" w:ascii="宋体" w:hAnsi="宋体" w:eastAsia="宋体" w:cs="宋体"/>
                <w:sz w:val="24"/>
              </w:rPr>
              <w:t>19</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4226F6FD">
            <w:pPr>
              <w:widowControl/>
              <w:jc w:val="center"/>
              <w:rPr>
                <w:rFonts w:ascii="宋体" w:hAnsi="宋体" w:eastAsia="宋体" w:cs="宋体"/>
                <w:sz w:val="22"/>
                <w:szCs w:val="22"/>
              </w:rPr>
            </w:pPr>
            <w:r>
              <w:rPr>
                <w:rFonts w:hint="eastAsia" w:ascii="宋体" w:hAnsi="宋体" w:eastAsia="宋体" w:cs="宋体"/>
                <w:sz w:val="22"/>
                <w:szCs w:val="22"/>
              </w:rPr>
              <w:t>2019</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577B5C13">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0CADC413">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3D7064EE">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60424ECE">
            <w:pPr>
              <w:widowControl/>
              <w:jc w:val="left"/>
              <w:rPr>
                <w:rFonts w:ascii="宋体" w:hAnsi="宋体" w:eastAsia="宋体" w:cs="宋体"/>
                <w:sz w:val="24"/>
              </w:rPr>
            </w:pPr>
            <w:r>
              <w:rPr>
                <w:rFonts w:hint="eastAsia" w:ascii="宋体" w:hAnsi="宋体" w:eastAsia="宋体" w:cs="宋体"/>
                <w:sz w:val="24"/>
              </w:rPr>
              <w:t>大洋农贸市场</w:t>
            </w:r>
          </w:p>
        </w:tc>
      </w:tr>
      <w:tr w14:paraId="72775053">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7E34AAB4">
            <w:pPr>
              <w:widowControl/>
              <w:jc w:val="center"/>
              <w:rPr>
                <w:rFonts w:ascii="宋体" w:hAnsi="宋体" w:eastAsia="宋体" w:cs="宋体"/>
                <w:sz w:val="24"/>
              </w:rPr>
            </w:pPr>
            <w:r>
              <w:rPr>
                <w:rFonts w:hint="eastAsia" w:ascii="宋体" w:hAnsi="宋体" w:eastAsia="宋体" w:cs="宋体"/>
                <w:sz w:val="24"/>
              </w:rPr>
              <w:t>20</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4D56E227">
            <w:pPr>
              <w:widowControl/>
              <w:jc w:val="center"/>
              <w:rPr>
                <w:rFonts w:ascii="宋体" w:hAnsi="宋体" w:eastAsia="宋体" w:cs="宋体"/>
                <w:sz w:val="22"/>
                <w:szCs w:val="22"/>
              </w:rPr>
            </w:pPr>
            <w:r>
              <w:rPr>
                <w:rFonts w:hint="eastAsia" w:ascii="宋体" w:hAnsi="宋体" w:eastAsia="宋体" w:cs="宋体"/>
                <w:sz w:val="22"/>
                <w:szCs w:val="22"/>
              </w:rPr>
              <w:t>2020</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380AEEFB">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2CCE579B">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23AC1F65">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1A8D436F">
            <w:pPr>
              <w:widowControl/>
              <w:jc w:val="left"/>
              <w:rPr>
                <w:rFonts w:ascii="宋体" w:hAnsi="宋体" w:eastAsia="宋体" w:cs="宋体"/>
                <w:sz w:val="24"/>
              </w:rPr>
            </w:pPr>
            <w:r>
              <w:rPr>
                <w:rFonts w:hint="eastAsia" w:ascii="宋体" w:hAnsi="宋体" w:eastAsia="宋体" w:cs="宋体"/>
                <w:sz w:val="24"/>
              </w:rPr>
              <w:t>大洋东方花园菜场</w:t>
            </w:r>
          </w:p>
        </w:tc>
      </w:tr>
      <w:tr w14:paraId="1DC0714A">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04B02985">
            <w:pPr>
              <w:widowControl/>
              <w:jc w:val="center"/>
              <w:rPr>
                <w:rFonts w:ascii="宋体" w:hAnsi="宋体" w:eastAsia="宋体" w:cs="宋体"/>
                <w:sz w:val="24"/>
              </w:rPr>
            </w:pPr>
            <w:r>
              <w:rPr>
                <w:rFonts w:hint="eastAsia" w:ascii="宋体" w:hAnsi="宋体" w:eastAsia="宋体" w:cs="宋体"/>
                <w:sz w:val="24"/>
              </w:rPr>
              <w:t>21</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274BDB97">
            <w:pPr>
              <w:widowControl/>
              <w:jc w:val="center"/>
              <w:rPr>
                <w:rFonts w:ascii="宋体" w:hAnsi="宋体" w:eastAsia="宋体" w:cs="宋体"/>
                <w:sz w:val="22"/>
                <w:szCs w:val="22"/>
              </w:rPr>
            </w:pPr>
            <w:r>
              <w:rPr>
                <w:rFonts w:hint="eastAsia" w:ascii="宋体" w:hAnsi="宋体" w:eastAsia="宋体" w:cs="宋体"/>
                <w:sz w:val="22"/>
                <w:szCs w:val="22"/>
              </w:rPr>
              <w:t>2021</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1C40804E">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1307E879">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011BCC73">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2E17E7EB">
            <w:pPr>
              <w:widowControl/>
              <w:jc w:val="left"/>
              <w:rPr>
                <w:rFonts w:ascii="宋体" w:hAnsi="宋体" w:eastAsia="宋体" w:cs="宋体"/>
                <w:sz w:val="24"/>
              </w:rPr>
            </w:pPr>
            <w:r>
              <w:rPr>
                <w:rFonts w:hint="eastAsia" w:ascii="宋体" w:hAnsi="宋体" w:eastAsia="宋体" w:cs="宋体"/>
                <w:sz w:val="24"/>
              </w:rPr>
              <w:t>敬老院围墙南侧</w:t>
            </w:r>
          </w:p>
        </w:tc>
      </w:tr>
      <w:tr w14:paraId="49B7AAE7">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65C258B3">
            <w:pPr>
              <w:widowControl/>
              <w:jc w:val="center"/>
              <w:rPr>
                <w:rFonts w:ascii="宋体" w:hAnsi="宋体" w:eastAsia="宋体" w:cs="宋体"/>
                <w:sz w:val="24"/>
              </w:rPr>
            </w:pPr>
            <w:r>
              <w:rPr>
                <w:rFonts w:hint="eastAsia" w:ascii="宋体" w:hAnsi="宋体" w:eastAsia="宋体" w:cs="宋体"/>
                <w:sz w:val="24"/>
              </w:rPr>
              <w:t>22</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29AD43E0">
            <w:pPr>
              <w:widowControl/>
              <w:jc w:val="center"/>
              <w:rPr>
                <w:rFonts w:ascii="宋体" w:hAnsi="宋体" w:eastAsia="宋体" w:cs="宋体"/>
                <w:sz w:val="22"/>
                <w:szCs w:val="22"/>
              </w:rPr>
            </w:pPr>
            <w:r>
              <w:rPr>
                <w:rFonts w:hint="eastAsia" w:ascii="宋体" w:hAnsi="宋体" w:eastAsia="宋体" w:cs="宋体"/>
                <w:sz w:val="22"/>
                <w:szCs w:val="22"/>
              </w:rPr>
              <w:t>2022</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2DE40159">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10AC2762">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55918A8D">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1F4A739F">
            <w:pPr>
              <w:widowControl/>
              <w:jc w:val="left"/>
              <w:rPr>
                <w:rFonts w:ascii="宋体" w:hAnsi="宋体" w:eastAsia="宋体" w:cs="宋体"/>
                <w:sz w:val="24"/>
              </w:rPr>
            </w:pPr>
            <w:r>
              <w:rPr>
                <w:rFonts w:hint="eastAsia" w:ascii="宋体" w:hAnsi="宋体" w:eastAsia="宋体" w:cs="宋体"/>
                <w:sz w:val="24"/>
              </w:rPr>
              <w:t>高力电子街南</w:t>
            </w:r>
          </w:p>
        </w:tc>
      </w:tr>
      <w:tr w14:paraId="494366C8">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502A7BF4">
            <w:pPr>
              <w:widowControl/>
              <w:jc w:val="center"/>
              <w:rPr>
                <w:rFonts w:ascii="宋体" w:hAnsi="宋体" w:eastAsia="宋体" w:cs="宋体"/>
                <w:sz w:val="24"/>
              </w:rPr>
            </w:pPr>
            <w:r>
              <w:rPr>
                <w:rFonts w:hint="eastAsia" w:ascii="宋体" w:hAnsi="宋体" w:eastAsia="宋体" w:cs="宋体"/>
                <w:sz w:val="24"/>
              </w:rPr>
              <w:t>23</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0AE0A573">
            <w:pPr>
              <w:widowControl/>
              <w:jc w:val="center"/>
              <w:rPr>
                <w:rFonts w:ascii="宋体" w:hAnsi="宋体" w:eastAsia="宋体" w:cs="宋体"/>
                <w:sz w:val="22"/>
                <w:szCs w:val="22"/>
              </w:rPr>
            </w:pPr>
            <w:r>
              <w:rPr>
                <w:rFonts w:hint="eastAsia" w:ascii="宋体" w:hAnsi="宋体" w:eastAsia="宋体" w:cs="宋体"/>
                <w:sz w:val="22"/>
                <w:szCs w:val="22"/>
              </w:rPr>
              <w:t>2023</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066789C5">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3481C631">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1DB5CE13">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43CBABAD">
            <w:pPr>
              <w:widowControl/>
              <w:jc w:val="left"/>
              <w:rPr>
                <w:rFonts w:ascii="宋体" w:hAnsi="宋体" w:eastAsia="宋体" w:cs="宋体"/>
                <w:sz w:val="24"/>
              </w:rPr>
            </w:pPr>
            <w:r>
              <w:rPr>
                <w:rFonts w:hint="eastAsia" w:ascii="宋体" w:hAnsi="宋体" w:eastAsia="宋体" w:cs="宋体"/>
                <w:sz w:val="24"/>
              </w:rPr>
              <w:t>高力电子街北</w:t>
            </w:r>
          </w:p>
        </w:tc>
      </w:tr>
      <w:tr w14:paraId="7385FDD8">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7FA5E8D8">
            <w:pPr>
              <w:widowControl/>
              <w:jc w:val="center"/>
              <w:rPr>
                <w:rFonts w:ascii="宋体" w:hAnsi="宋体" w:eastAsia="宋体" w:cs="宋体"/>
                <w:sz w:val="24"/>
              </w:rPr>
            </w:pPr>
            <w:r>
              <w:rPr>
                <w:rFonts w:hint="eastAsia" w:ascii="宋体" w:hAnsi="宋体" w:eastAsia="宋体" w:cs="宋体"/>
                <w:sz w:val="24"/>
              </w:rPr>
              <w:t>24</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7AF7DA37">
            <w:pPr>
              <w:widowControl/>
              <w:jc w:val="center"/>
              <w:rPr>
                <w:rFonts w:ascii="宋体" w:hAnsi="宋体" w:eastAsia="宋体" w:cs="宋体"/>
                <w:sz w:val="22"/>
                <w:szCs w:val="22"/>
              </w:rPr>
            </w:pPr>
            <w:r>
              <w:rPr>
                <w:rFonts w:hint="eastAsia" w:ascii="宋体" w:hAnsi="宋体" w:eastAsia="宋体" w:cs="宋体"/>
                <w:sz w:val="22"/>
                <w:szCs w:val="22"/>
              </w:rPr>
              <w:t>2024</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5FFDB3C0">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47263B25">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0B78C206">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4AC84118">
            <w:pPr>
              <w:widowControl/>
              <w:jc w:val="left"/>
              <w:rPr>
                <w:rFonts w:ascii="宋体" w:hAnsi="宋体" w:eastAsia="宋体" w:cs="宋体"/>
                <w:sz w:val="24"/>
              </w:rPr>
            </w:pPr>
            <w:r>
              <w:rPr>
                <w:rFonts w:hint="eastAsia" w:ascii="宋体" w:hAnsi="宋体" w:eastAsia="宋体" w:cs="宋体"/>
                <w:sz w:val="24"/>
              </w:rPr>
              <w:t>通榆北村社区旁</w:t>
            </w:r>
          </w:p>
        </w:tc>
      </w:tr>
      <w:tr w14:paraId="26ACE698">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21CCC833">
            <w:pPr>
              <w:widowControl/>
              <w:jc w:val="center"/>
              <w:rPr>
                <w:rFonts w:ascii="宋体" w:hAnsi="宋体" w:eastAsia="宋体" w:cs="宋体"/>
                <w:sz w:val="24"/>
              </w:rPr>
            </w:pPr>
            <w:r>
              <w:rPr>
                <w:rFonts w:hint="eastAsia" w:ascii="宋体" w:hAnsi="宋体" w:eastAsia="宋体" w:cs="宋体"/>
                <w:sz w:val="24"/>
              </w:rPr>
              <w:t>25</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362EE2CE">
            <w:pPr>
              <w:widowControl/>
              <w:jc w:val="center"/>
              <w:rPr>
                <w:rFonts w:ascii="宋体" w:hAnsi="宋体" w:eastAsia="宋体" w:cs="宋体"/>
                <w:sz w:val="22"/>
                <w:szCs w:val="22"/>
              </w:rPr>
            </w:pPr>
            <w:r>
              <w:rPr>
                <w:rFonts w:hint="eastAsia" w:ascii="宋体" w:hAnsi="宋体" w:eastAsia="宋体" w:cs="宋体"/>
                <w:sz w:val="22"/>
                <w:szCs w:val="22"/>
              </w:rPr>
              <w:t>2025</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5E970B4F">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7B92099B">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622C3D69">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0774B89B">
            <w:pPr>
              <w:widowControl/>
              <w:jc w:val="left"/>
              <w:rPr>
                <w:rFonts w:ascii="宋体" w:hAnsi="宋体" w:eastAsia="宋体" w:cs="宋体"/>
                <w:sz w:val="24"/>
              </w:rPr>
            </w:pPr>
            <w:r>
              <w:rPr>
                <w:rFonts w:hint="eastAsia" w:ascii="宋体" w:hAnsi="宋体" w:eastAsia="宋体" w:cs="宋体"/>
                <w:sz w:val="24"/>
              </w:rPr>
              <w:t>黄海东路39号东巷南</w:t>
            </w:r>
          </w:p>
        </w:tc>
      </w:tr>
      <w:tr w14:paraId="39A26A3C">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2BD55EBB">
            <w:pPr>
              <w:widowControl/>
              <w:jc w:val="center"/>
              <w:rPr>
                <w:rFonts w:ascii="宋体" w:hAnsi="宋体" w:eastAsia="宋体" w:cs="宋体"/>
                <w:sz w:val="24"/>
              </w:rPr>
            </w:pPr>
            <w:r>
              <w:rPr>
                <w:rFonts w:hint="eastAsia" w:ascii="宋体" w:hAnsi="宋体" w:eastAsia="宋体" w:cs="宋体"/>
                <w:sz w:val="24"/>
              </w:rPr>
              <w:t>26</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2E9D85ED">
            <w:pPr>
              <w:widowControl/>
              <w:jc w:val="center"/>
              <w:rPr>
                <w:rFonts w:ascii="宋体" w:hAnsi="宋体" w:eastAsia="宋体" w:cs="宋体"/>
                <w:sz w:val="22"/>
                <w:szCs w:val="22"/>
              </w:rPr>
            </w:pPr>
            <w:r>
              <w:rPr>
                <w:rFonts w:hint="eastAsia" w:ascii="宋体" w:hAnsi="宋体" w:eastAsia="宋体" w:cs="宋体"/>
                <w:sz w:val="22"/>
                <w:szCs w:val="22"/>
              </w:rPr>
              <w:t>2026</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0B7A720F">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5B303DDE">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5FA3EDE1">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4127A00A">
            <w:pPr>
              <w:widowControl/>
              <w:jc w:val="left"/>
              <w:rPr>
                <w:rFonts w:ascii="宋体" w:hAnsi="宋体" w:eastAsia="宋体" w:cs="宋体"/>
                <w:sz w:val="24"/>
              </w:rPr>
            </w:pPr>
            <w:r>
              <w:rPr>
                <w:rFonts w:hint="eastAsia" w:ascii="宋体" w:hAnsi="宋体" w:eastAsia="宋体" w:cs="宋体"/>
                <w:sz w:val="24"/>
              </w:rPr>
              <w:t>黄海东路40号东巷</w:t>
            </w:r>
          </w:p>
        </w:tc>
      </w:tr>
      <w:tr w14:paraId="74CADF35">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2C45C13B">
            <w:pPr>
              <w:widowControl/>
              <w:jc w:val="center"/>
              <w:rPr>
                <w:rFonts w:ascii="宋体" w:hAnsi="宋体" w:eastAsia="宋体" w:cs="宋体"/>
                <w:sz w:val="24"/>
              </w:rPr>
            </w:pPr>
            <w:r>
              <w:rPr>
                <w:rFonts w:hint="eastAsia" w:ascii="宋体" w:hAnsi="宋体" w:eastAsia="宋体" w:cs="宋体"/>
                <w:sz w:val="24"/>
              </w:rPr>
              <w:t>27</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66D113A9">
            <w:pPr>
              <w:widowControl/>
              <w:jc w:val="center"/>
              <w:rPr>
                <w:rFonts w:ascii="宋体" w:hAnsi="宋体" w:eastAsia="宋体" w:cs="宋体"/>
                <w:sz w:val="22"/>
                <w:szCs w:val="22"/>
              </w:rPr>
            </w:pPr>
            <w:r>
              <w:rPr>
                <w:rFonts w:hint="eastAsia" w:ascii="宋体" w:hAnsi="宋体" w:eastAsia="宋体" w:cs="宋体"/>
                <w:sz w:val="22"/>
                <w:szCs w:val="22"/>
              </w:rPr>
              <w:t>2027</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42EAC386">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2648E11C">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3216A5BD">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3BA839F5">
            <w:pPr>
              <w:widowControl/>
              <w:jc w:val="left"/>
              <w:rPr>
                <w:rFonts w:ascii="宋体" w:hAnsi="宋体" w:eastAsia="宋体" w:cs="宋体"/>
                <w:sz w:val="24"/>
              </w:rPr>
            </w:pPr>
            <w:r>
              <w:rPr>
                <w:rFonts w:hint="eastAsia" w:ascii="宋体" w:hAnsi="宋体" w:eastAsia="宋体" w:cs="宋体"/>
                <w:sz w:val="24"/>
              </w:rPr>
              <w:t>开放大道72号阳光花园</w:t>
            </w:r>
          </w:p>
        </w:tc>
      </w:tr>
      <w:tr w14:paraId="7FDBC190">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53BA1B49">
            <w:pPr>
              <w:widowControl/>
              <w:jc w:val="center"/>
              <w:rPr>
                <w:rFonts w:ascii="宋体" w:hAnsi="宋体" w:eastAsia="宋体" w:cs="宋体"/>
                <w:sz w:val="24"/>
              </w:rPr>
            </w:pPr>
            <w:r>
              <w:rPr>
                <w:rFonts w:hint="eastAsia" w:ascii="宋体" w:hAnsi="宋体" w:eastAsia="宋体" w:cs="宋体"/>
                <w:sz w:val="24"/>
              </w:rPr>
              <w:t>28</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41382709">
            <w:pPr>
              <w:widowControl/>
              <w:jc w:val="center"/>
              <w:rPr>
                <w:rFonts w:ascii="宋体" w:hAnsi="宋体" w:eastAsia="宋体" w:cs="宋体"/>
                <w:sz w:val="22"/>
                <w:szCs w:val="22"/>
              </w:rPr>
            </w:pPr>
            <w:r>
              <w:rPr>
                <w:rFonts w:hint="eastAsia" w:ascii="宋体" w:hAnsi="宋体" w:eastAsia="宋体" w:cs="宋体"/>
                <w:sz w:val="22"/>
                <w:szCs w:val="22"/>
              </w:rPr>
              <w:t>2028</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62EBD0EB">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4CC23500">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1B857031">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17A2BA47">
            <w:pPr>
              <w:widowControl/>
              <w:jc w:val="left"/>
              <w:rPr>
                <w:rFonts w:ascii="宋体" w:hAnsi="宋体" w:eastAsia="宋体" w:cs="宋体"/>
                <w:sz w:val="24"/>
              </w:rPr>
            </w:pPr>
            <w:r>
              <w:rPr>
                <w:rFonts w:hint="eastAsia" w:ascii="宋体" w:hAnsi="宋体" w:eastAsia="宋体" w:cs="宋体"/>
                <w:sz w:val="24"/>
              </w:rPr>
              <w:t>开放大道91号</w:t>
            </w:r>
          </w:p>
        </w:tc>
      </w:tr>
      <w:tr w14:paraId="1D1AE049">
        <w:tblPrEx>
          <w:tblCellMar>
            <w:top w:w="0" w:type="dxa"/>
            <w:left w:w="108" w:type="dxa"/>
            <w:bottom w:w="0" w:type="dxa"/>
            <w:right w:w="108" w:type="dxa"/>
          </w:tblCellMar>
        </w:tblPrEx>
        <w:trPr>
          <w:trHeight w:val="430"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0ABE4618">
            <w:pPr>
              <w:widowControl/>
              <w:jc w:val="center"/>
              <w:rPr>
                <w:rFonts w:ascii="宋体" w:hAnsi="宋体" w:eastAsia="宋体" w:cs="宋体"/>
                <w:sz w:val="24"/>
              </w:rPr>
            </w:pPr>
            <w:r>
              <w:rPr>
                <w:rFonts w:hint="eastAsia" w:ascii="宋体" w:hAnsi="宋体" w:eastAsia="宋体" w:cs="宋体"/>
                <w:sz w:val="24"/>
              </w:rPr>
              <w:t>29</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2CD834A6">
            <w:pPr>
              <w:widowControl/>
              <w:jc w:val="center"/>
              <w:rPr>
                <w:rFonts w:ascii="宋体" w:hAnsi="宋体" w:eastAsia="宋体" w:cs="宋体"/>
                <w:sz w:val="22"/>
                <w:szCs w:val="22"/>
              </w:rPr>
            </w:pPr>
            <w:r>
              <w:rPr>
                <w:rFonts w:hint="eastAsia" w:ascii="宋体" w:hAnsi="宋体" w:eastAsia="宋体" w:cs="宋体"/>
                <w:sz w:val="22"/>
                <w:szCs w:val="22"/>
              </w:rPr>
              <w:t>2029</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237D4BCA">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24B5B9CC">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190C4E83">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2FA979F5">
            <w:pPr>
              <w:widowControl/>
              <w:jc w:val="left"/>
              <w:rPr>
                <w:rFonts w:ascii="宋体" w:hAnsi="宋体" w:eastAsia="宋体" w:cs="宋体"/>
                <w:sz w:val="24"/>
              </w:rPr>
            </w:pPr>
            <w:r>
              <w:rPr>
                <w:rFonts w:hint="eastAsia" w:ascii="宋体" w:hAnsi="宋体" w:eastAsia="宋体" w:cs="宋体"/>
                <w:sz w:val="24"/>
              </w:rPr>
              <w:t>文港路165号工学院教师公寓</w:t>
            </w:r>
          </w:p>
        </w:tc>
      </w:tr>
    </w:tbl>
    <w:p w14:paraId="48519662">
      <w:pPr>
        <w:spacing w:line="400" w:lineRule="exact"/>
        <w:rPr>
          <w:rFonts w:ascii="宋体" w:hAnsi="宋体" w:eastAsia="宋体" w:cs="宋体"/>
          <w:b/>
          <w:bCs/>
          <w:sz w:val="24"/>
          <w:shd w:val="clear" w:color="auto" w:fill="FFFFFF"/>
        </w:rPr>
      </w:pPr>
      <w:r>
        <w:rPr>
          <w:rStyle w:val="205"/>
          <w:rFonts w:hint="eastAsia" w:ascii="宋体" w:hAnsi="宋体" w:eastAsia="宋体" w:cs="宋体"/>
          <w:sz w:val="24"/>
        </w:rPr>
        <w:t>注：公厕</w:t>
      </w:r>
      <w:r>
        <w:rPr>
          <w:rFonts w:hint="eastAsia" w:ascii="宋体" w:hAnsi="宋体" w:eastAsia="宋体" w:cs="宋体"/>
          <w:sz w:val="24"/>
        </w:rPr>
        <w:t>详细情况由投标人自行勘察现场</w:t>
      </w:r>
      <w:r>
        <w:rPr>
          <w:rStyle w:val="205"/>
          <w:rFonts w:hint="eastAsia" w:ascii="宋体" w:hAnsi="宋体" w:eastAsia="宋体" w:cs="宋体"/>
          <w:sz w:val="24"/>
        </w:rPr>
        <w:t>。</w:t>
      </w:r>
    </w:p>
    <w:p w14:paraId="0D73659B">
      <w:pPr>
        <w:pStyle w:val="13"/>
        <w:spacing w:line="460" w:lineRule="exact"/>
        <w:ind w:left="0" w:firstLine="480"/>
        <w:rPr>
          <w:rFonts w:hint="eastAsia" w:ascii="宋体" w:hAnsi="宋体" w:eastAsia="宋体" w:cs="宋体"/>
          <w:sz w:val="24"/>
        </w:rPr>
      </w:pPr>
    </w:p>
    <w:p w14:paraId="59064DDD">
      <w:pPr>
        <w:pStyle w:val="13"/>
        <w:spacing w:line="460" w:lineRule="exact"/>
        <w:ind w:left="0" w:firstLine="480"/>
        <w:rPr>
          <w:rFonts w:hint="eastAsia" w:ascii="宋体" w:hAnsi="宋体" w:eastAsia="宋体" w:cs="宋体"/>
          <w:sz w:val="24"/>
        </w:rPr>
      </w:pPr>
    </w:p>
    <w:p w14:paraId="125F3E9D">
      <w:pPr>
        <w:pStyle w:val="13"/>
        <w:spacing w:line="460" w:lineRule="exact"/>
        <w:ind w:left="0" w:firstLine="480"/>
        <w:rPr>
          <w:rFonts w:hint="eastAsia" w:ascii="宋体" w:hAnsi="宋体" w:eastAsia="宋体" w:cs="宋体"/>
          <w:sz w:val="24"/>
        </w:rPr>
      </w:pPr>
    </w:p>
    <w:p w14:paraId="00868F47">
      <w:pPr>
        <w:pStyle w:val="13"/>
        <w:spacing w:line="460" w:lineRule="exact"/>
        <w:ind w:left="0" w:firstLine="480"/>
        <w:rPr>
          <w:rFonts w:hint="eastAsia" w:ascii="宋体" w:hAnsi="宋体" w:eastAsia="宋体" w:cs="宋体"/>
          <w:sz w:val="24"/>
        </w:rPr>
      </w:pPr>
    </w:p>
    <w:p w14:paraId="464EE1F7">
      <w:pPr>
        <w:pStyle w:val="13"/>
        <w:spacing w:line="460" w:lineRule="exact"/>
        <w:ind w:left="0" w:firstLine="480"/>
        <w:rPr>
          <w:rFonts w:ascii="宋体" w:hAnsi="宋体" w:eastAsia="宋体" w:cs="宋体"/>
          <w:sz w:val="24"/>
        </w:rPr>
      </w:pPr>
      <w:r>
        <w:rPr>
          <w:rFonts w:hint="eastAsia" w:ascii="宋体" w:hAnsi="宋体" w:eastAsia="宋体" w:cs="宋体"/>
          <w:sz w:val="24"/>
        </w:rPr>
        <w:t>六、采购标的对应的中小企业划分标准所属行业一览表</w:t>
      </w:r>
    </w:p>
    <w:p w14:paraId="7F01B258">
      <w:pPr>
        <w:pStyle w:val="36"/>
        <w:spacing w:beforeAutospacing="0" w:afterAutospacing="0"/>
        <w:jc w:val="both"/>
        <w:rPr>
          <w:rFonts w:ascii="宋体" w:hAnsi="宋体" w:eastAsia="宋体" w:cs="宋体"/>
        </w:rPr>
      </w:pPr>
      <w:r>
        <w:rPr>
          <w:rFonts w:hint="eastAsia" w:ascii="宋体" w:hAnsi="宋体" w:eastAsia="宋体" w:cs="宋体"/>
        </w:rPr>
        <w:t> </w:t>
      </w:r>
    </w:p>
    <w:tbl>
      <w:tblPr>
        <w:tblStyle w:val="40"/>
        <w:tblpPr w:leftFromText="180" w:rightFromText="180" w:vertAnchor="text" w:horzAnchor="page" w:tblpX="1636" w:tblpY="239"/>
        <w:tblW w:w="9478" w:type="dxa"/>
        <w:tblCellSpacing w:w="0" w:type="dxa"/>
        <w:tblInd w:w="0" w:type="dxa"/>
        <w:tblLayout w:type="fixed"/>
        <w:tblCellMar>
          <w:top w:w="0" w:type="dxa"/>
          <w:left w:w="108" w:type="dxa"/>
          <w:bottom w:w="0" w:type="dxa"/>
          <w:right w:w="108" w:type="dxa"/>
        </w:tblCellMar>
      </w:tblPr>
      <w:tblGrid>
        <w:gridCol w:w="778"/>
        <w:gridCol w:w="4650"/>
        <w:gridCol w:w="4050"/>
      </w:tblGrid>
      <w:tr w14:paraId="15BE50ED">
        <w:tblPrEx>
          <w:tblCellMar>
            <w:top w:w="0" w:type="dxa"/>
            <w:left w:w="108" w:type="dxa"/>
            <w:bottom w:w="0" w:type="dxa"/>
            <w:right w:w="108" w:type="dxa"/>
          </w:tblCellMar>
        </w:tblPrEx>
        <w:trPr>
          <w:trHeight w:val="503" w:hRule="atLeast"/>
          <w:tblCellSpacing w:w="0" w:type="dxa"/>
        </w:trPr>
        <w:tc>
          <w:tcPr>
            <w:tcW w:w="77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8B921A">
            <w:pPr>
              <w:pStyle w:val="13"/>
              <w:spacing w:line="400" w:lineRule="exact"/>
              <w:ind w:left="0"/>
              <w:jc w:val="center"/>
              <w:rPr>
                <w:rFonts w:ascii="宋体" w:hAnsi="宋体" w:eastAsia="宋体" w:cs="宋体"/>
              </w:rPr>
            </w:pPr>
            <w:r>
              <w:rPr>
                <w:rFonts w:hint="eastAsia" w:ascii="宋体" w:hAnsi="宋体" w:eastAsia="宋体" w:cs="宋体"/>
              </w:rPr>
              <w:t>序号</w:t>
            </w:r>
          </w:p>
        </w:tc>
        <w:tc>
          <w:tcPr>
            <w:tcW w:w="46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ED7CA9">
            <w:pPr>
              <w:pStyle w:val="13"/>
              <w:spacing w:line="400" w:lineRule="exact"/>
              <w:ind w:left="0"/>
              <w:jc w:val="center"/>
              <w:rPr>
                <w:rFonts w:ascii="宋体" w:hAnsi="宋体" w:eastAsia="宋体" w:cs="宋体"/>
              </w:rPr>
            </w:pPr>
            <w:r>
              <w:rPr>
                <w:rFonts w:hint="eastAsia" w:ascii="宋体" w:hAnsi="宋体" w:eastAsia="宋体" w:cs="宋体"/>
              </w:rPr>
              <w:t>采购标的</w:t>
            </w:r>
          </w:p>
        </w:tc>
        <w:tc>
          <w:tcPr>
            <w:tcW w:w="40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CDB140">
            <w:pPr>
              <w:pStyle w:val="13"/>
              <w:spacing w:line="400" w:lineRule="exact"/>
              <w:ind w:left="0"/>
              <w:jc w:val="center"/>
              <w:rPr>
                <w:rFonts w:ascii="宋体" w:hAnsi="宋体" w:eastAsia="宋体" w:cs="宋体"/>
              </w:rPr>
            </w:pPr>
            <w:r>
              <w:rPr>
                <w:rFonts w:hint="eastAsia" w:ascii="宋体" w:hAnsi="宋体" w:eastAsia="宋体" w:cs="宋体"/>
              </w:rPr>
              <w:t>对应中小企业划分标准所属行业</w:t>
            </w:r>
          </w:p>
        </w:tc>
      </w:tr>
      <w:tr w14:paraId="178C10C9">
        <w:tblPrEx>
          <w:tblCellMar>
            <w:top w:w="0" w:type="dxa"/>
            <w:left w:w="108" w:type="dxa"/>
            <w:bottom w:w="0" w:type="dxa"/>
            <w:right w:w="108" w:type="dxa"/>
          </w:tblCellMar>
        </w:tblPrEx>
        <w:trPr>
          <w:trHeight w:val="790" w:hRule="atLeast"/>
          <w:tblCellSpacing w:w="0" w:type="dxa"/>
        </w:trPr>
        <w:tc>
          <w:tcPr>
            <w:tcW w:w="77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6B2CBB">
            <w:pPr>
              <w:pStyle w:val="13"/>
              <w:spacing w:line="400" w:lineRule="exact"/>
              <w:ind w:left="0"/>
              <w:jc w:val="center"/>
              <w:rPr>
                <w:rFonts w:ascii="宋体" w:hAnsi="宋体" w:eastAsia="宋体" w:cs="宋体"/>
              </w:rPr>
            </w:pPr>
            <w:r>
              <w:rPr>
                <w:rFonts w:hint="eastAsia" w:ascii="宋体" w:hAnsi="宋体" w:eastAsia="宋体" w:cs="宋体"/>
              </w:rPr>
              <w:t>1</w:t>
            </w:r>
          </w:p>
        </w:tc>
        <w:tc>
          <w:tcPr>
            <w:tcW w:w="46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9ADBD0">
            <w:pPr>
              <w:pStyle w:val="13"/>
              <w:spacing w:line="400" w:lineRule="exact"/>
              <w:ind w:left="0"/>
              <w:jc w:val="center"/>
              <w:rPr>
                <w:rFonts w:hint="eastAsia" w:ascii="宋体" w:hAnsi="宋体" w:eastAsia="宋体" w:cs="宋体"/>
                <w:lang w:eastAsia="zh-CN"/>
              </w:rPr>
            </w:pPr>
            <w:r>
              <w:rPr>
                <w:rFonts w:hint="eastAsia" w:ascii="宋体" w:hAnsi="宋体" w:eastAsia="宋体" w:cs="宋体"/>
                <w:sz w:val="24"/>
                <w:lang w:eastAsia="zh-CN"/>
              </w:rPr>
              <w:t xml:space="preserve">2025年11月-2027年11月大洋街道辖区公厕管护服务采购项目    </w:t>
            </w:r>
          </w:p>
        </w:tc>
        <w:tc>
          <w:tcPr>
            <w:tcW w:w="40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167FC5">
            <w:pPr>
              <w:pStyle w:val="13"/>
              <w:spacing w:line="400" w:lineRule="exact"/>
              <w:ind w:left="0"/>
              <w:jc w:val="center"/>
              <w:rPr>
                <w:rFonts w:ascii="宋体" w:hAnsi="宋体" w:eastAsia="宋体" w:cs="宋体"/>
              </w:rPr>
            </w:pPr>
            <w:r>
              <w:rPr>
                <w:rFonts w:hint="eastAsia" w:ascii="宋体" w:hAnsi="宋体" w:eastAsia="宋体" w:cs="宋体"/>
                <w:sz w:val="24"/>
                <w:shd w:val="clear" w:color="auto" w:fill="FFFFFF"/>
              </w:rPr>
              <w:t>其他未列明行业</w:t>
            </w:r>
          </w:p>
        </w:tc>
      </w:tr>
    </w:tbl>
    <w:p w14:paraId="4EC39C58">
      <w:pPr>
        <w:pStyle w:val="36"/>
        <w:tabs>
          <w:tab w:val="left" w:pos="6205"/>
        </w:tabs>
        <w:spacing w:beforeAutospacing="0" w:afterAutospacing="0"/>
        <w:jc w:val="both"/>
        <w:rPr>
          <w:rFonts w:ascii="宋体" w:hAnsi="宋体" w:eastAsia="宋体" w:cs="宋体"/>
        </w:rPr>
      </w:pPr>
      <w:r>
        <w:rPr>
          <w:rFonts w:hint="eastAsia" w:ascii="宋体" w:hAnsi="宋体" w:eastAsia="宋体" w:cs="宋体"/>
        </w:rPr>
        <w:t> </w:t>
      </w:r>
    </w:p>
    <w:p w14:paraId="74A74CB2">
      <w:pPr>
        <w:pStyle w:val="36"/>
        <w:keepNext/>
        <w:spacing w:beforeAutospacing="0" w:afterAutospacing="0"/>
        <w:jc w:val="center"/>
        <w:rPr>
          <w:rFonts w:ascii="宋体" w:hAnsi="宋体" w:eastAsia="宋体" w:cs="宋体"/>
        </w:rPr>
      </w:pPr>
      <w:r>
        <w:rPr>
          <w:rFonts w:hint="eastAsia" w:ascii="宋体" w:hAnsi="宋体" w:eastAsia="宋体" w:cs="宋体"/>
        </w:rPr>
        <w:t> </w:t>
      </w:r>
    </w:p>
    <w:p w14:paraId="3F66C6A3">
      <w:pPr>
        <w:pStyle w:val="36"/>
        <w:spacing w:beforeAutospacing="0" w:afterAutospacing="0"/>
        <w:jc w:val="both"/>
        <w:rPr>
          <w:rFonts w:ascii="宋体" w:hAnsi="宋体" w:eastAsia="宋体" w:cs="宋体"/>
        </w:rPr>
      </w:pPr>
      <w:r>
        <w:rPr>
          <w:rFonts w:hint="eastAsia" w:ascii="宋体" w:hAnsi="宋体" w:eastAsia="宋体" w:cs="宋体"/>
        </w:rPr>
        <w:t> </w:t>
      </w:r>
    </w:p>
    <w:p w14:paraId="1209DB35">
      <w:pPr>
        <w:pStyle w:val="36"/>
        <w:spacing w:beforeAutospacing="0" w:afterAutospacing="0"/>
        <w:jc w:val="both"/>
        <w:rPr>
          <w:rFonts w:ascii="宋体" w:hAnsi="宋体" w:eastAsia="宋体" w:cs="宋体"/>
        </w:rPr>
      </w:pPr>
    </w:p>
    <w:p w14:paraId="539A6059">
      <w:pPr>
        <w:pStyle w:val="36"/>
        <w:keepNext/>
        <w:spacing w:beforeAutospacing="0" w:afterAutospacing="0" w:line="360" w:lineRule="auto"/>
        <w:jc w:val="both"/>
        <w:rPr>
          <w:rFonts w:hint="eastAsia" w:asciiTheme="majorEastAsia" w:hAnsiTheme="majorEastAsia" w:eastAsiaTheme="majorEastAsia" w:cstheme="majorEastAsia"/>
          <w:color w:val="auto"/>
          <w:sz w:val="44"/>
          <w:szCs w:val="44"/>
          <w:highlight w:val="none"/>
        </w:rPr>
        <w:sectPr>
          <w:footerReference r:id="rId3" w:type="default"/>
          <w:pgSz w:w="11906" w:h="16838"/>
          <w:pgMar w:top="607" w:right="850" w:bottom="850" w:left="1134" w:header="851" w:footer="992" w:gutter="0"/>
          <w:cols w:space="425" w:num="1"/>
          <w:docGrid w:linePitch="360" w:charSpace="0"/>
        </w:sectPr>
      </w:pPr>
    </w:p>
    <w:p w14:paraId="2A73A53C">
      <w:pPr>
        <w:pStyle w:val="36"/>
        <w:keepNext/>
        <w:spacing w:beforeAutospacing="0" w:afterAutospacing="0"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44"/>
          <w:szCs w:val="44"/>
          <w:highlight w:val="none"/>
        </w:rPr>
        <w:t xml:space="preserve">第五章  </w:t>
      </w:r>
      <w:r>
        <w:rPr>
          <w:rFonts w:hint="eastAsia" w:asciiTheme="majorEastAsia" w:hAnsiTheme="majorEastAsia" w:eastAsiaTheme="majorEastAsia" w:cstheme="majorEastAsia"/>
          <w:b/>
          <w:color w:val="auto"/>
          <w:sz w:val="44"/>
          <w:szCs w:val="44"/>
          <w:highlight w:val="none"/>
        </w:rPr>
        <w:t>评标方法与评标标准</w:t>
      </w:r>
    </w:p>
    <w:p w14:paraId="425A6167">
      <w:pPr>
        <w:pStyle w:val="36"/>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6385E810">
      <w:pPr>
        <w:pStyle w:val="36"/>
        <w:widowControl w:val="0"/>
        <w:numPr>
          <w:ilvl w:val="0"/>
          <w:numId w:val="0"/>
        </w:numPr>
        <w:spacing w:beforeAutospacing="0" w:afterAutospacing="0" w:line="360" w:lineRule="auto"/>
        <w:ind w:firstLine="482"/>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一、定标原则</w:t>
      </w:r>
    </w:p>
    <w:p w14:paraId="56AB7DC6">
      <w:pPr>
        <w:pStyle w:val="36"/>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eastAsia="宋体" w:asciiTheme="majorEastAsia" w:hAnsiTheme="majorEastAsia" w:cstheme="majorEastAsia"/>
          <w:color w:val="auto"/>
          <w:highlight w:val="none"/>
          <w:lang w:val="en-US" w:eastAsia="zh-CN"/>
        </w:rPr>
        <w:t>本项目</w:t>
      </w:r>
      <w:r>
        <w:rPr>
          <w:rFonts w:hint="eastAsia" w:asciiTheme="majorEastAsia" w:hAnsiTheme="majorEastAsia" w:eastAsiaTheme="majorEastAsia" w:cstheme="majorEastAsia"/>
          <w:color w:val="auto"/>
          <w:highlight w:val="none"/>
        </w:rPr>
        <w:t>采用</w:t>
      </w:r>
      <w:r>
        <w:rPr>
          <w:rFonts w:hint="eastAsia" w:asciiTheme="majorEastAsia" w:hAnsiTheme="majorEastAsia" w:eastAsiaTheme="majorEastAsia" w:cstheme="majorEastAsia"/>
          <w:b/>
          <w:bCs/>
          <w:color w:val="auto"/>
          <w:highlight w:val="none"/>
          <w:u w:val="single"/>
        </w:rPr>
        <w:t>综合评分法</w:t>
      </w:r>
      <w:r>
        <w:rPr>
          <w:rFonts w:hint="eastAsia" w:asciiTheme="majorEastAsia" w:hAnsiTheme="majorEastAsia" w:eastAsiaTheme="majorEastAsia" w:cstheme="majorEastAsia"/>
          <w:color w:val="auto"/>
          <w:highlight w:val="none"/>
        </w:rPr>
        <w:t>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51024012">
      <w:pPr>
        <w:pStyle w:val="36"/>
        <w:widowControl w:val="0"/>
        <w:numPr>
          <w:ilvl w:val="0"/>
          <w:numId w:val="0"/>
        </w:numPr>
        <w:spacing w:beforeAutospacing="0" w:afterAutospacing="0" w:line="360" w:lineRule="auto"/>
        <w:ind w:firstLine="482"/>
        <w:jc w:val="both"/>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rPr>
        <w:t>政府采购政策功能落实</w:t>
      </w:r>
    </w:p>
    <w:p w14:paraId="19C9473F">
      <w:pPr>
        <w:pStyle w:val="36"/>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eastAsia="宋体" w:asciiTheme="majorEastAsia" w:hAnsiTheme="majorEastAsia" w:cstheme="majorEastAsia"/>
          <w:color w:val="auto"/>
          <w:highlight w:val="none"/>
          <w:lang w:val="en-US" w:eastAsia="zh-CN"/>
        </w:rPr>
        <w:t>本项目</w:t>
      </w:r>
      <w:r>
        <w:rPr>
          <w:rFonts w:hint="eastAsia" w:asciiTheme="majorEastAsia" w:hAnsiTheme="majorEastAsia" w:eastAsiaTheme="majorEastAsia" w:cstheme="majorEastAsia"/>
          <w:color w:val="auto"/>
          <w:highlight w:val="none"/>
        </w:rPr>
        <w:t>采用</w:t>
      </w:r>
      <w:r>
        <w:rPr>
          <w:rFonts w:hint="eastAsia" w:asciiTheme="majorEastAsia" w:hAnsiTheme="majorEastAsia" w:eastAsiaTheme="majorEastAsia" w:cstheme="majorEastAsia"/>
          <w:b/>
          <w:bCs/>
          <w:color w:val="auto"/>
          <w:highlight w:val="none"/>
          <w:u w:val="single"/>
        </w:rPr>
        <w:t>综合评分法</w:t>
      </w:r>
      <w:r>
        <w:rPr>
          <w:rFonts w:hint="eastAsia" w:asciiTheme="majorEastAsia" w:hAnsiTheme="majorEastAsia" w:eastAsiaTheme="majorEastAsia" w:cstheme="majorEastAsia"/>
          <w:color w:val="auto"/>
          <w:highlight w:val="none"/>
        </w:rPr>
        <w:t>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7032D4EC">
      <w:pPr>
        <w:pStyle w:val="36"/>
        <w:widowControl w:val="0"/>
        <w:numPr>
          <w:ilvl w:val="0"/>
          <w:numId w:val="0"/>
        </w:numPr>
        <w:spacing w:beforeAutospacing="0" w:afterAutospacing="0" w:line="360" w:lineRule="auto"/>
        <w:ind w:firstLine="482"/>
        <w:jc w:val="both"/>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rPr>
        <w:t>政府采购政策功能落实</w:t>
      </w:r>
    </w:p>
    <w:p w14:paraId="11684F90">
      <w:pPr>
        <w:widowControl/>
        <w:spacing w:line="560" w:lineRule="exact"/>
        <w:ind w:firstLine="480"/>
        <w:rPr>
          <w:b w:val="0"/>
          <w:bCs w:val="0"/>
          <w:color w:val="auto"/>
          <w:sz w:val="24"/>
          <w:szCs w:val="20"/>
          <w:highlight w:val="none"/>
        </w:rPr>
      </w:pPr>
      <w:r>
        <w:rPr>
          <w:rFonts w:hint="eastAsia"/>
          <w:b w:val="0"/>
          <w:bCs w:val="0"/>
          <w:color w:val="auto"/>
          <w:sz w:val="24"/>
          <w:szCs w:val="20"/>
          <w:highlight w:val="none"/>
        </w:rPr>
        <w:t>1、小微型企业</w:t>
      </w:r>
    </w:p>
    <w:p w14:paraId="197BC1BB">
      <w:pPr>
        <w:widowControl/>
        <w:spacing w:line="560" w:lineRule="exact"/>
        <w:ind w:firstLine="480"/>
        <w:rPr>
          <w:color w:val="auto"/>
          <w:sz w:val="24"/>
          <w:szCs w:val="20"/>
          <w:highlight w:val="none"/>
        </w:rPr>
      </w:pPr>
      <w:r>
        <w:rPr>
          <w:rFonts w:hint="eastAsia"/>
          <w:color w:val="auto"/>
          <w:sz w:val="24"/>
          <w:szCs w:val="20"/>
          <w:highlight w:val="none"/>
        </w:rPr>
        <w:t>（1）本项目专门面向中小企业采购，不再对小型和微型企业服务给予价格扣除。</w:t>
      </w:r>
    </w:p>
    <w:p w14:paraId="10ABF4FD">
      <w:pPr>
        <w:widowControl/>
        <w:spacing w:line="560" w:lineRule="exact"/>
        <w:ind w:firstLine="480"/>
        <w:rPr>
          <w:color w:val="auto"/>
          <w:sz w:val="24"/>
          <w:szCs w:val="20"/>
          <w:highlight w:val="none"/>
        </w:rPr>
      </w:pPr>
      <w:r>
        <w:rPr>
          <w:rFonts w:hint="eastAsia"/>
          <w:color w:val="auto"/>
          <w:sz w:val="24"/>
          <w:szCs w:val="20"/>
          <w:highlight w:val="none"/>
        </w:rPr>
        <w:t>（2）供应商需按照采购文件的要求提供相应的《企业声明函》。</w:t>
      </w:r>
    </w:p>
    <w:p w14:paraId="54450ABA">
      <w:pPr>
        <w:widowControl/>
        <w:spacing w:line="560" w:lineRule="exact"/>
        <w:ind w:firstLine="480"/>
        <w:rPr>
          <w:color w:val="auto"/>
          <w:sz w:val="24"/>
          <w:szCs w:val="20"/>
          <w:highlight w:val="none"/>
        </w:rPr>
      </w:pPr>
      <w:r>
        <w:rPr>
          <w:rFonts w:hint="eastAsia"/>
          <w:color w:val="auto"/>
          <w:sz w:val="24"/>
          <w:szCs w:val="20"/>
          <w:highlight w:val="none"/>
        </w:rPr>
        <w:t>（3）企业标准请参照《关于印发中小企业划型标准规定的通知》（工信部联企业[2011]300号）文件规定自行填写。</w:t>
      </w:r>
    </w:p>
    <w:p w14:paraId="457E1369">
      <w:pPr>
        <w:widowControl/>
        <w:spacing w:line="560" w:lineRule="exact"/>
        <w:ind w:firstLine="480"/>
        <w:rPr>
          <w:b w:val="0"/>
          <w:bCs w:val="0"/>
          <w:color w:val="auto"/>
          <w:sz w:val="24"/>
          <w:szCs w:val="20"/>
          <w:highlight w:val="none"/>
        </w:rPr>
      </w:pPr>
      <w:r>
        <w:rPr>
          <w:rFonts w:hint="eastAsia"/>
          <w:b w:val="0"/>
          <w:bCs w:val="0"/>
          <w:color w:val="auto"/>
          <w:sz w:val="24"/>
          <w:szCs w:val="20"/>
          <w:highlight w:val="none"/>
        </w:rPr>
        <w:t>2、残疾人福利单位</w:t>
      </w:r>
    </w:p>
    <w:p w14:paraId="321DE06E">
      <w:pPr>
        <w:widowControl/>
        <w:spacing w:line="560" w:lineRule="exact"/>
        <w:ind w:firstLine="480"/>
        <w:rPr>
          <w:color w:val="auto"/>
          <w:sz w:val="24"/>
          <w:szCs w:val="20"/>
          <w:highlight w:val="none"/>
        </w:rPr>
      </w:pPr>
      <w:r>
        <w:rPr>
          <w:rFonts w:hint="eastAsia"/>
          <w:color w:val="auto"/>
          <w:sz w:val="24"/>
          <w:szCs w:val="20"/>
          <w:highlight w:val="none"/>
        </w:rPr>
        <w:t>（1）本项目对残疾人福利性单位视同小型、微型企业。</w:t>
      </w:r>
    </w:p>
    <w:p w14:paraId="0651A461">
      <w:pPr>
        <w:widowControl/>
        <w:spacing w:line="560" w:lineRule="exact"/>
        <w:ind w:firstLine="480"/>
        <w:rPr>
          <w:color w:val="auto"/>
          <w:sz w:val="24"/>
          <w:szCs w:val="20"/>
          <w:highlight w:val="none"/>
        </w:rPr>
      </w:pPr>
      <w:r>
        <w:rPr>
          <w:rFonts w:hint="eastAsia"/>
          <w:color w:val="auto"/>
          <w:sz w:val="24"/>
          <w:szCs w:val="20"/>
          <w:highlight w:val="none"/>
        </w:rPr>
        <w:t>（2）残疾人福利单位标准请参照《关于促进残疾人就业政府采购政策的通知》（财库〔2017〕141号）。</w:t>
      </w:r>
    </w:p>
    <w:p w14:paraId="7A168CAF">
      <w:pPr>
        <w:widowControl/>
        <w:spacing w:line="560" w:lineRule="exact"/>
        <w:ind w:firstLine="480"/>
        <w:rPr>
          <w:b w:val="0"/>
          <w:bCs w:val="0"/>
          <w:color w:val="auto"/>
          <w:sz w:val="24"/>
          <w:szCs w:val="20"/>
          <w:highlight w:val="none"/>
        </w:rPr>
      </w:pPr>
      <w:r>
        <w:rPr>
          <w:rFonts w:hint="eastAsia"/>
          <w:b w:val="0"/>
          <w:bCs w:val="0"/>
          <w:color w:val="auto"/>
          <w:sz w:val="24"/>
          <w:szCs w:val="20"/>
          <w:highlight w:val="none"/>
        </w:rPr>
        <w:t>3、监狱和戒毒企业</w:t>
      </w:r>
    </w:p>
    <w:p w14:paraId="664EE845">
      <w:pPr>
        <w:widowControl/>
        <w:spacing w:line="560" w:lineRule="exact"/>
        <w:ind w:firstLine="480"/>
        <w:rPr>
          <w:color w:val="auto"/>
          <w:sz w:val="24"/>
          <w:szCs w:val="20"/>
          <w:highlight w:val="none"/>
        </w:rPr>
      </w:pPr>
      <w:r>
        <w:rPr>
          <w:rFonts w:hint="eastAsia"/>
          <w:color w:val="auto"/>
          <w:sz w:val="24"/>
          <w:szCs w:val="20"/>
          <w:highlight w:val="none"/>
        </w:rPr>
        <w:t>（1）本项目对监狱和戒毒企业（简称监狱企业）视同小型、微型企业。</w:t>
      </w:r>
    </w:p>
    <w:p w14:paraId="644D0B8F">
      <w:pPr>
        <w:widowControl/>
        <w:spacing w:line="560" w:lineRule="exact"/>
        <w:ind w:firstLine="480"/>
        <w:rPr>
          <w:color w:val="auto"/>
          <w:sz w:val="24"/>
          <w:szCs w:val="20"/>
          <w:highlight w:val="none"/>
        </w:rPr>
      </w:pPr>
      <w:r>
        <w:rPr>
          <w:rFonts w:hint="eastAsia"/>
          <w:color w:val="auto"/>
          <w:sz w:val="24"/>
          <w:szCs w:val="20"/>
          <w:highlight w:val="none"/>
        </w:rPr>
        <w:t>（2）监狱企业参加政府采购活动时，需提供由省级以上监狱管理局、戒毒管理局(含新疆生产建设兵团)出具的属于监狱企业的证明文件。供应商如不提供上述证明文件，价格将不做相应扣除。</w:t>
      </w:r>
    </w:p>
    <w:p w14:paraId="2743857D">
      <w:pPr>
        <w:widowControl/>
        <w:spacing w:line="560" w:lineRule="exact"/>
        <w:ind w:firstLine="480"/>
        <w:rPr>
          <w:rFonts w:hint="eastAsia"/>
          <w:color w:val="auto"/>
          <w:sz w:val="24"/>
          <w:szCs w:val="20"/>
          <w:highlight w:val="none"/>
        </w:rPr>
      </w:pPr>
      <w:r>
        <w:rPr>
          <w:rFonts w:hint="eastAsia"/>
          <w:color w:val="auto"/>
          <w:sz w:val="24"/>
          <w:szCs w:val="20"/>
          <w:highlight w:val="none"/>
        </w:rPr>
        <w:t>（3）监狱企业标准请参照《关于政府采购支持监狱企业发展有关问题的通知》（财库[2014]68号）。</w:t>
      </w:r>
    </w:p>
    <w:p w14:paraId="01CE372C">
      <w:pPr>
        <w:widowControl/>
        <w:spacing w:line="560" w:lineRule="exact"/>
        <w:ind w:firstLine="480"/>
        <w:rPr>
          <w:rFonts w:hint="eastAsia"/>
          <w:color w:val="auto"/>
          <w:sz w:val="24"/>
          <w:szCs w:val="20"/>
          <w:highlight w:val="none"/>
        </w:rPr>
      </w:pPr>
      <w:r>
        <w:rPr>
          <w:rFonts w:hint="eastAsia"/>
          <w:color w:val="auto"/>
          <w:sz w:val="24"/>
          <w:szCs w:val="20"/>
          <w:highlight w:val="none"/>
        </w:rPr>
        <w:t>4、残疾人福利单位、监狱企业属于小型、微型企业的，不重复享受政策。</w:t>
      </w:r>
    </w:p>
    <w:p w14:paraId="3F90BA3C">
      <w:pPr>
        <w:widowControl/>
        <w:spacing w:line="560" w:lineRule="exact"/>
        <w:ind w:firstLine="480"/>
        <w:rPr>
          <w:rFonts w:hint="eastAsia"/>
          <w:color w:val="auto"/>
          <w:highlight w:val="none"/>
        </w:rPr>
      </w:pPr>
      <w:r>
        <w:rPr>
          <w:rFonts w:hint="eastAsia"/>
          <w:color w:val="auto"/>
          <w:sz w:val="24"/>
          <w:szCs w:val="20"/>
          <w:highlight w:val="none"/>
          <w:lang w:val="en-US" w:eastAsia="zh-CN"/>
        </w:rPr>
        <w:t>5</w:t>
      </w:r>
      <w:r>
        <w:rPr>
          <w:rFonts w:hint="eastAsia"/>
          <w:color w:val="auto"/>
          <w:sz w:val="24"/>
          <w:szCs w:val="20"/>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4DCBA00">
      <w:pPr>
        <w:pStyle w:val="36"/>
        <w:widowControl w:val="0"/>
        <w:numPr>
          <w:ilvl w:val="0"/>
          <w:numId w:val="0"/>
        </w:numPr>
        <w:spacing w:beforeAutospacing="0" w:afterAutospacing="0" w:line="360" w:lineRule="auto"/>
        <w:ind w:firstLine="482"/>
        <w:jc w:val="both"/>
        <w:rPr>
          <w:rFonts w:hint="eastAsia" w:asciiTheme="majorEastAsia" w:hAnsiTheme="majorEastAsia" w:eastAsiaTheme="majorEastAsia" w:cstheme="majorEastAsia"/>
          <w:b/>
          <w:bCs/>
          <w:color w:val="auto"/>
          <w:highlight w:val="none"/>
          <w:lang w:val="en-US" w:eastAsia="zh-CN"/>
        </w:rPr>
      </w:pPr>
    </w:p>
    <w:p w14:paraId="6A26B1EF">
      <w:pPr>
        <w:pStyle w:val="36"/>
        <w:widowControl w:val="0"/>
        <w:numPr>
          <w:ilvl w:val="0"/>
          <w:numId w:val="0"/>
        </w:numPr>
        <w:spacing w:beforeAutospacing="0" w:afterAutospacing="0" w:line="360" w:lineRule="auto"/>
        <w:ind w:firstLine="482"/>
        <w:jc w:val="both"/>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lang w:val="en-US" w:eastAsia="zh-CN"/>
        </w:rPr>
        <w:t>二、</w:t>
      </w:r>
      <w:r>
        <w:rPr>
          <w:rFonts w:hint="eastAsia" w:asciiTheme="majorEastAsia" w:hAnsiTheme="majorEastAsia" w:eastAsiaTheme="majorEastAsia" w:cstheme="majorEastAsia"/>
          <w:b/>
          <w:bCs/>
          <w:color w:val="auto"/>
          <w:highlight w:val="none"/>
        </w:rPr>
        <w:t>评标方法与评标标准</w:t>
      </w:r>
    </w:p>
    <w:p w14:paraId="225B3FB2">
      <w:pPr>
        <w:pStyle w:val="36"/>
        <w:spacing w:beforeAutospacing="0" w:afterAutospacing="0"/>
        <w:jc w:val="both"/>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rPr>
        <w:t> 本项目评分总分值为100分。</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6"/>
        <w:gridCol w:w="1367"/>
        <w:gridCol w:w="7007"/>
      </w:tblGrid>
      <w:tr w14:paraId="00802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306" w:type="dxa"/>
            <w:noWrap w:val="0"/>
            <w:vAlign w:val="center"/>
          </w:tcPr>
          <w:p w14:paraId="25AF27D2">
            <w:pPr>
              <w:keepNext w:val="0"/>
              <w:keepLines w:val="0"/>
              <w:pageBreakBefore w:val="0"/>
              <w:widowControl/>
              <w:kinsoku/>
              <w:wordWrap/>
              <w:overflowPunct/>
              <w:topLinePunct w:val="0"/>
              <w:autoSpaceDE/>
              <w:autoSpaceDN/>
              <w:bidi w:val="0"/>
              <w:adjustRightInd/>
              <w:spacing w:after="0" w:line="240" w:lineRule="auto"/>
              <w:jc w:val="center"/>
              <w:textAlignment w:val="auto"/>
              <w:rPr>
                <w:rFonts w:hint="eastAsia" w:ascii="宋体" w:hAnsi="宋体" w:eastAsia="宋体" w:cs="宋体"/>
                <w:b/>
                <w:bCs/>
                <w:color w:val="auto"/>
                <w:sz w:val="21"/>
                <w:szCs w:val="21"/>
                <w:highlight w:val="none"/>
                <w:vertAlign w:val="baseline"/>
              </w:rPr>
            </w:pPr>
            <w:bookmarkStart w:id="188" w:name="_Toc120614281"/>
            <w:r>
              <w:rPr>
                <w:rFonts w:hint="eastAsia" w:ascii="宋体" w:hAnsi="宋体" w:eastAsia="宋体" w:cs="宋体"/>
                <w:color w:val="auto"/>
                <w:sz w:val="21"/>
                <w:szCs w:val="21"/>
                <w:highlight w:val="none"/>
              </w:rPr>
              <w:t>评分项</w:t>
            </w:r>
          </w:p>
        </w:tc>
        <w:tc>
          <w:tcPr>
            <w:tcW w:w="1367" w:type="dxa"/>
            <w:noWrap w:val="0"/>
            <w:vAlign w:val="center"/>
          </w:tcPr>
          <w:p w14:paraId="3A187D50">
            <w:pPr>
              <w:keepNext w:val="0"/>
              <w:keepLines w:val="0"/>
              <w:pageBreakBefore w:val="0"/>
              <w:widowControl/>
              <w:kinsoku/>
              <w:wordWrap/>
              <w:overflowPunct/>
              <w:topLinePunct w:val="0"/>
              <w:autoSpaceDE/>
              <w:autoSpaceDN/>
              <w:bidi w:val="0"/>
              <w:adjustRightInd/>
              <w:spacing w:after="0" w:line="240" w:lineRule="auto"/>
              <w:jc w:val="center"/>
              <w:textAlignment w:val="auto"/>
              <w:rPr>
                <w:rFonts w:hint="eastAsia" w:ascii="宋体" w:hAnsi="宋体" w:eastAsia="宋体" w:cs="宋体"/>
                <w:b/>
                <w:bCs/>
                <w:color w:val="auto"/>
                <w:sz w:val="21"/>
                <w:szCs w:val="21"/>
                <w:highlight w:val="none"/>
                <w:vertAlign w:val="baseline"/>
              </w:rPr>
            </w:pPr>
            <w:r>
              <w:rPr>
                <w:rFonts w:hint="eastAsia" w:ascii="宋体" w:hAnsi="宋体" w:eastAsia="宋体" w:cs="宋体"/>
                <w:color w:val="auto"/>
                <w:sz w:val="21"/>
                <w:szCs w:val="21"/>
                <w:highlight w:val="none"/>
              </w:rPr>
              <w:t>分值设定</w:t>
            </w:r>
          </w:p>
        </w:tc>
        <w:tc>
          <w:tcPr>
            <w:tcW w:w="7007" w:type="dxa"/>
            <w:noWrap w:val="0"/>
            <w:vAlign w:val="center"/>
          </w:tcPr>
          <w:p w14:paraId="74079AAE">
            <w:pPr>
              <w:keepNext w:val="0"/>
              <w:keepLines w:val="0"/>
              <w:pageBreakBefore w:val="0"/>
              <w:widowControl/>
              <w:kinsoku/>
              <w:wordWrap/>
              <w:overflowPunct/>
              <w:topLinePunct w:val="0"/>
              <w:autoSpaceDE/>
              <w:autoSpaceDN/>
              <w:bidi w:val="0"/>
              <w:adjustRightInd/>
              <w:spacing w:after="0" w:line="240" w:lineRule="auto"/>
              <w:ind w:firstLine="480" w:firstLineChars="0"/>
              <w:jc w:val="center"/>
              <w:textAlignment w:val="auto"/>
              <w:rPr>
                <w:rFonts w:hint="default" w:ascii="宋体" w:hAnsi="宋体" w:eastAsia="宋体" w:cs="宋体"/>
                <w:b/>
                <w:bCs/>
                <w:color w:val="auto"/>
                <w:sz w:val="21"/>
                <w:szCs w:val="21"/>
                <w:highlight w:val="none"/>
                <w:vertAlign w:val="baseline"/>
                <w:lang w:val="en-US" w:eastAsia="zh-CN"/>
              </w:rPr>
            </w:pPr>
            <w:r>
              <w:rPr>
                <w:rFonts w:hint="eastAsia" w:ascii="宋体" w:hAnsi="宋体" w:eastAsia="宋体" w:cs="宋体"/>
                <w:color w:val="auto"/>
                <w:sz w:val="21"/>
                <w:szCs w:val="21"/>
                <w:highlight w:val="none"/>
              </w:rPr>
              <w:t>评分标准及细则</w:t>
            </w:r>
          </w:p>
        </w:tc>
      </w:tr>
      <w:tr w14:paraId="1B0A0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noWrap w:val="0"/>
            <w:vAlign w:val="center"/>
          </w:tcPr>
          <w:p w14:paraId="0A783C0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before="0" w:after="0" w:line="240" w:lineRule="auto"/>
              <w:ind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投标报价</w:t>
            </w:r>
          </w:p>
          <w:p w14:paraId="4D952DA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before="0" w:after="0" w:line="240" w:lineRule="auto"/>
              <w:ind w:right="0" w:rightChars="0"/>
              <w:jc w:val="center"/>
              <w:textAlignment w:val="auto"/>
              <w:rPr>
                <w:rFonts w:hint="eastAsia" w:ascii="宋体" w:hAnsi="宋体" w:eastAsia="宋体" w:cs="宋体"/>
                <w:b/>
                <w:bCs/>
                <w:color w:val="auto"/>
                <w:sz w:val="21"/>
                <w:szCs w:val="21"/>
                <w:highlight w:val="none"/>
                <w:vertAlign w:val="baseline"/>
              </w:rPr>
            </w:pPr>
            <w:r>
              <w:rPr>
                <w:rFonts w:hint="eastAsia" w:ascii="宋体" w:hAnsi="宋体" w:eastAsia="宋体" w:cs="宋体"/>
                <w:color w:val="auto"/>
                <w:sz w:val="21"/>
                <w:szCs w:val="21"/>
                <w:highlight w:val="none"/>
                <w:lang w:val="en-US" w:eastAsia="zh-CN"/>
              </w:rPr>
              <w:t>（30分）</w:t>
            </w:r>
          </w:p>
        </w:tc>
        <w:tc>
          <w:tcPr>
            <w:tcW w:w="1367" w:type="dxa"/>
            <w:noWrap w:val="0"/>
            <w:vAlign w:val="center"/>
          </w:tcPr>
          <w:p w14:paraId="1DC3A07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before="0" w:after="0" w:line="240" w:lineRule="auto"/>
              <w:ind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投标报价</w:t>
            </w:r>
          </w:p>
          <w:p w14:paraId="0096281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before="0" w:after="0" w:line="240" w:lineRule="auto"/>
              <w:ind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（30分）</w:t>
            </w:r>
          </w:p>
        </w:tc>
        <w:tc>
          <w:tcPr>
            <w:tcW w:w="7007" w:type="dxa"/>
            <w:noWrap w:val="0"/>
            <w:vAlign w:val="center"/>
          </w:tcPr>
          <w:p w14:paraId="5E6DC46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before="0" w:after="0" w:line="240" w:lineRule="auto"/>
              <w:ind w:left="0" w:leftChars="0" w:right="0" w:rightChars="0" w:firstLine="48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评标基准价：满足招标文件要求且投标价格最低的投标报价为评标基准价，其价格分为30分。</w:t>
            </w:r>
          </w:p>
          <w:p w14:paraId="0C6B020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before="0" w:after="0" w:line="240" w:lineRule="auto"/>
              <w:ind w:left="0" w:leftChars="0" w:right="0" w:rightChars="0" w:firstLine="48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其他投标人的价格分统一按照下列公式计算（小数点后保留两位）：</w:t>
            </w:r>
          </w:p>
          <w:p w14:paraId="4F5FA7F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before="0" w:after="0" w:line="240" w:lineRule="auto"/>
              <w:ind w:left="0" w:leftChars="0" w:right="0" w:rightChars="0" w:firstLine="48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投标报价得分=(评标基准价／投标报价)×30</w:t>
            </w:r>
          </w:p>
        </w:tc>
      </w:tr>
      <w:tr w14:paraId="676D8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restart"/>
            <w:noWrap w:val="0"/>
            <w:vAlign w:val="center"/>
          </w:tcPr>
          <w:p w14:paraId="035D80B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bCs/>
                <w:color w:val="auto"/>
                <w:sz w:val="21"/>
                <w:szCs w:val="21"/>
                <w:highlight w:val="none"/>
                <w:vertAlign w:val="baseline"/>
              </w:rPr>
            </w:pPr>
            <w:r>
              <w:rPr>
                <w:rFonts w:hint="eastAsia" w:ascii="宋体" w:hAnsi="宋体" w:eastAsia="宋体" w:cs="宋体"/>
                <w:color w:val="auto"/>
                <w:sz w:val="21"/>
                <w:szCs w:val="21"/>
                <w:highlight w:val="none"/>
                <w:lang w:val="en-US" w:eastAsia="zh-CN"/>
              </w:rPr>
              <w:t>商务分部（25分）</w:t>
            </w:r>
          </w:p>
        </w:tc>
        <w:tc>
          <w:tcPr>
            <w:tcW w:w="1367" w:type="dxa"/>
            <w:noWrap w:val="0"/>
            <w:vAlign w:val="center"/>
          </w:tcPr>
          <w:p w14:paraId="2A8118C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before="0" w:after="0" w:line="240" w:lineRule="auto"/>
              <w:ind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企业资信（3分）</w:t>
            </w:r>
          </w:p>
        </w:tc>
        <w:tc>
          <w:tcPr>
            <w:tcW w:w="7007" w:type="dxa"/>
            <w:noWrap w:val="0"/>
            <w:vAlign w:val="center"/>
          </w:tcPr>
          <w:p w14:paraId="4D1F447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before="0" w:after="0" w:line="240" w:lineRule="auto"/>
              <w:ind w:left="0" w:leftChars="0" w:right="0" w:rightChars="0" w:firstLine="48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1.投标人具备有效期内的质量管理体系IS09001认证证书、环境管理体系IS014001认证证书、职业健康安全管理体系认证证书，每提供其中一项得1分，</w:t>
            </w:r>
            <w:r>
              <w:rPr>
                <w:rFonts w:hint="eastAsia" w:ascii="宋体" w:hAnsi="宋体" w:eastAsia="宋体" w:cs="宋体"/>
                <w:b/>
                <w:bCs/>
                <w:color w:val="auto"/>
                <w:sz w:val="21"/>
                <w:szCs w:val="21"/>
                <w:highlight w:val="none"/>
                <w:lang w:val="en-US" w:eastAsia="zh-CN"/>
              </w:rPr>
              <w:t>最多得3分</w:t>
            </w:r>
            <w:r>
              <w:rPr>
                <w:rFonts w:hint="eastAsia" w:ascii="宋体" w:hAnsi="宋体" w:eastAsia="宋体" w:cs="宋体"/>
                <w:color w:val="auto"/>
                <w:sz w:val="21"/>
                <w:szCs w:val="21"/>
                <w:highlight w:val="none"/>
                <w:lang w:val="en-US" w:eastAsia="zh-CN"/>
              </w:rPr>
              <w:t>，（须同时提供认证证书扫描件以及在“全国认证认可信息公共服务平台”的网页查询结果截图打印件，否则不予计分）。</w:t>
            </w:r>
          </w:p>
        </w:tc>
      </w:tr>
      <w:tr w14:paraId="32D11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1306" w:type="dxa"/>
            <w:vMerge w:val="continue"/>
            <w:noWrap w:val="0"/>
            <w:vAlign w:val="center"/>
          </w:tcPr>
          <w:p w14:paraId="00804514">
            <w:pPr>
              <w:keepNext w:val="0"/>
              <w:keepLines w:val="0"/>
              <w:pageBreakBefore w:val="0"/>
              <w:widowControl/>
              <w:kinsoku/>
              <w:wordWrap/>
              <w:overflowPunct/>
              <w:topLinePunct w:val="0"/>
              <w:autoSpaceDE/>
              <w:autoSpaceDN/>
              <w:bidi w:val="0"/>
              <w:adjustRightInd/>
              <w:spacing w:after="0" w:line="240" w:lineRule="auto"/>
              <w:ind w:firstLine="480" w:firstLineChars="0"/>
              <w:jc w:val="center"/>
              <w:textAlignment w:val="auto"/>
              <w:rPr>
                <w:rFonts w:hint="eastAsia" w:ascii="宋体" w:hAnsi="宋体" w:eastAsia="宋体" w:cs="宋体"/>
                <w:b/>
                <w:bCs/>
                <w:color w:val="auto"/>
                <w:sz w:val="21"/>
                <w:szCs w:val="21"/>
                <w:highlight w:val="none"/>
                <w:vertAlign w:val="baseline"/>
              </w:rPr>
            </w:pPr>
          </w:p>
        </w:tc>
        <w:tc>
          <w:tcPr>
            <w:tcW w:w="1367" w:type="dxa"/>
            <w:noWrap w:val="0"/>
            <w:vAlign w:val="center"/>
          </w:tcPr>
          <w:p w14:paraId="1E3EC330">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eastAsia" w:ascii="宋体" w:hAnsi="宋体" w:eastAsia="宋体" w:cs="宋体"/>
                <w:b/>
                <w:bCs/>
                <w:color w:val="auto"/>
                <w:sz w:val="21"/>
                <w:szCs w:val="21"/>
                <w:highlight w:val="none"/>
                <w:vertAlign w:val="baseline"/>
              </w:rPr>
            </w:pPr>
            <w:r>
              <w:rPr>
                <w:rFonts w:hint="eastAsia" w:ascii="宋体" w:hAnsi="宋体" w:eastAsia="宋体" w:cs="宋体"/>
                <w:color w:val="auto"/>
                <w:sz w:val="21"/>
                <w:szCs w:val="21"/>
                <w:highlight w:val="none"/>
                <w:lang w:val="en-US" w:eastAsia="zh-CN"/>
              </w:rPr>
              <w:t>业绩（10分）</w:t>
            </w:r>
          </w:p>
        </w:tc>
        <w:tc>
          <w:tcPr>
            <w:tcW w:w="7007" w:type="dxa"/>
            <w:noWrap w:val="0"/>
            <w:vAlign w:val="center"/>
          </w:tcPr>
          <w:p w14:paraId="689FB7C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firstLine="420" w:firstLineChars="200"/>
              <w:jc w:val="left"/>
              <w:textAlignment w:val="auto"/>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投标人202</w:t>
            </w:r>
            <w:r>
              <w:rPr>
                <w:rFonts w:hint="eastAsia" w:ascii="宋体" w:hAnsi="宋体" w:eastAsia="宋体" w:cs="宋体"/>
                <w:b w:val="0"/>
                <w:bCs w:val="0"/>
                <w:color w:val="auto"/>
                <w:sz w:val="21"/>
                <w:szCs w:val="21"/>
                <w:highlight w:val="none"/>
                <w:vertAlign w:val="baseline"/>
                <w:lang w:val="en-US" w:eastAsia="zh-CN"/>
              </w:rPr>
              <w:t>2</w:t>
            </w:r>
            <w:r>
              <w:rPr>
                <w:rFonts w:hint="eastAsia" w:ascii="宋体" w:hAnsi="宋体" w:eastAsia="宋体" w:cs="宋体"/>
                <w:b w:val="0"/>
                <w:bCs w:val="0"/>
                <w:color w:val="auto"/>
                <w:sz w:val="21"/>
                <w:szCs w:val="21"/>
                <w:highlight w:val="none"/>
                <w:vertAlign w:val="baseline"/>
              </w:rPr>
              <w:t>年1月1日以来（以合同签订时间为准），具有类似业绩（同一项目的续签合同（如一年一签）仅视为一份业绩，不重复</w:t>
            </w:r>
            <w:r>
              <w:rPr>
                <w:rFonts w:hint="eastAsia" w:ascii="宋体" w:hAnsi="宋体" w:eastAsia="宋体" w:cs="宋体"/>
                <w:b w:val="0"/>
                <w:bCs w:val="0"/>
                <w:color w:val="auto"/>
                <w:sz w:val="21"/>
                <w:szCs w:val="21"/>
                <w:highlight w:val="none"/>
                <w:vertAlign w:val="baseline"/>
                <w:lang w:val="en-US" w:eastAsia="zh-CN"/>
              </w:rPr>
              <w:t>计</w:t>
            </w:r>
            <w:r>
              <w:rPr>
                <w:rFonts w:hint="eastAsia" w:ascii="宋体" w:hAnsi="宋体" w:eastAsia="宋体" w:cs="宋体"/>
                <w:b w:val="0"/>
                <w:bCs w:val="0"/>
                <w:color w:val="auto"/>
                <w:sz w:val="21"/>
                <w:szCs w:val="21"/>
                <w:highlight w:val="none"/>
                <w:vertAlign w:val="baseline"/>
              </w:rPr>
              <w:t>分），有1项，得2分，</w:t>
            </w:r>
            <w:r>
              <w:rPr>
                <w:rFonts w:hint="eastAsia" w:ascii="宋体" w:hAnsi="宋体" w:eastAsia="宋体" w:cs="宋体"/>
                <w:b/>
                <w:bCs/>
                <w:color w:val="auto"/>
                <w:sz w:val="21"/>
                <w:szCs w:val="21"/>
                <w:highlight w:val="none"/>
                <w:vertAlign w:val="baseline"/>
              </w:rPr>
              <w:t>本项最高得</w:t>
            </w:r>
            <w:r>
              <w:rPr>
                <w:rFonts w:hint="eastAsia" w:ascii="宋体" w:hAnsi="宋体" w:eastAsia="宋体" w:cs="宋体"/>
                <w:b/>
                <w:bCs/>
                <w:color w:val="auto"/>
                <w:sz w:val="21"/>
                <w:szCs w:val="21"/>
                <w:highlight w:val="none"/>
                <w:vertAlign w:val="baseline"/>
                <w:lang w:val="en-US" w:eastAsia="zh-CN"/>
              </w:rPr>
              <w:t>10</w:t>
            </w:r>
            <w:r>
              <w:rPr>
                <w:rFonts w:hint="eastAsia" w:ascii="宋体" w:hAnsi="宋体" w:eastAsia="宋体" w:cs="宋体"/>
                <w:b/>
                <w:bCs/>
                <w:color w:val="auto"/>
                <w:sz w:val="21"/>
                <w:szCs w:val="21"/>
                <w:highlight w:val="none"/>
                <w:vertAlign w:val="baseline"/>
              </w:rPr>
              <w:t>分。</w:t>
            </w:r>
          </w:p>
          <w:p w14:paraId="205E944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firstLine="420" w:firstLineChars="200"/>
              <w:jc w:val="left"/>
              <w:textAlignment w:val="auto"/>
              <w:rPr>
                <w:rFonts w:hint="eastAsia" w:ascii="宋体" w:hAnsi="宋体" w:eastAsia="宋体" w:cs="宋体"/>
                <w:b/>
                <w:bCs/>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注：须提供业绩合同原件的彩色扫描件，并加盖投标人公章，未提供不得分。</w:t>
            </w:r>
          </w:p>
        </w:tc>
      </w:tr>
      <w:tr w14:paraId="2644B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1306" w:type="dxa"/>
            <w:vMerge w:val="continue"/>
            <w:noWrap w:val="0"/>
            <w:vAlign w:val="center"/>
          </w:tcPr>
          <w:p w14:paraId="1D2C5F2B">
            <w:pPr>
              <w:keepNext w:val="0"/>
              <w:keepLines w:val="0"/>
              <w:pageBreakBefore w:val="0"/>
              <w:widowControl/>
              <w:kinsoku/>
              <w:wordWrap/>
              <w:overflowPunct/>
              <w:topLinePunct w:val="0"/>
              <w:autoSpaceDE/>
              <w:autoSpaceDN/>
              <w:bidi w:val="0"/>
              <w:adjustRightInd/>
              <w:spacing w:after="0" w:line="240" w:lineRule="auto"/>
              <w:ind w:firstLine="480" w:firstLineChars="0"/>
              <w:jc w:val="center"/>
              <w:textAlignment w:val="auto"/>
              <w:rPr>
                <w:rFonts w:hint="eastAsia" w:ascii="宋体" w:hAnsi="宋体" w:eastAsia="宋体" w:cs="宋体"/>
                <w:b/>
                <w:bCs/>
                <w:color w:val="auto"/>
                <w:sz w:val="21"/>
                <w:szCs w:val="21"/>
                <w:highlight w:val="none"/>
                <w:vertAlign w:val="baseline"/>
              </w:rPr>
            </w:pPr>
          </w:p>
        </w:tc>
        <w:tc>
          <w:tcPr>
            <w:tcW w:w="1367" w:type="dxa"/>
            <w:noWrap w:val="0"/>
            <w:vAlign w:val="center"/>
          </w:tcPr>
          <w:p w14:paraId="3798F0E2">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人员配备（4分）</w:t>
            </w:r>
          </w:p>
        </w:tc>
        <w:tc>
          <w:tcPr>
            <w:tcW w:w="7007" w:type="dxa"/>
            <w:noWrap w:val="0"/>
            <w:vAlign w:val="center"/>
          </w:tcPr>
          <w:p w14:paraId="22A2CD0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1.配备的项目组成员</w:t>
            </w:r>
          </w:p>
          <w:p w14:paraId="038B9A0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项目负责人具有大专学历，得3分；本科及以上学历，得4分；</w:t>
            </w:r>
            <w:r>
              <w:rPr>
                <w:rFonts w:hint="eastAsia" w:ascii="宋体" w:hAnsi="宋体" w:eastAsia="宋体" w:cs="宋体"/>
                <w:b/>
                <w:bCs/>
                <w:color w:val="auto"/>
                <w:sz w:val="21"/>
                <w:szCs w:val="21"/>
                <w:highlight w:val="none"/>
                <w:lang w:val="en-US" w:eastAsia="zh-CN"/>
              </w:rPr>
              <w:t>本项最高得4分。</w:t>
            </w:r>
          </w:p>
          <w:p w14:paraId="114D940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firstLine="420" w:firstLineChars="20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（注：须提供签订的劳动合同、学历证书以及</w:t>
            </w:r>
            <w:r>
              <w:rPr>
                <w:rFonts w:hint="eastAsia" w:ascii="宋体" w:hAnsi="宋体" w:eastAsia="宋体" w:cs="宋体"/>
                <w:color w:val="auto"/>
                <w:kern w:val="2"/>
                <w:sz w:val="21"/>
                <w:szCs w:val="20"/>
                <w:highlight w:val="none"/>
                <w:lang w:val="en-US" w:eastAsia="zh-CN" w:bidi="ar-SA"/>
              </w:rPr>
              <w:t>提供</w:t>
            </w:r>
            <w:r>
              <w:rPr>
                <w:rFonts w:hint="eastAsia" w:ascii="宋体" w:hAnsi="宋体" w:eastAsia="宋体" w:cs="宋体"/>
                <w:color w:val="auto"/>
                <w:kern w:val="2"/>
                <w:sz w:val="21"/>
                <w:szCs w:val="21"/>
                <w:highlight w:val="none"/>
                <w:lang w:val="en-US" w:eastAsia="zh-CN" w:bidi="ar-SA"/>
              </w:rPr>
              <w:t>开标前3个月内任意1个月在本单位缴纳社保的证明</w:t>
            </w:r>
            <w:r>
              <w:rPr>
                <w:rFonts w:hint="eastAsia" w:ascii="宋体" w:hAnsi="宋体" w:eastAsia="宋体" w:cs="宋体"/>
                <w:b w:val="0"/>
                <w:bCs w:val="0"/>
                <w:color w:val="auto"/>
                <w:sz w:val="21"/>
                <w:szCs w:val="21"/>
                <w:highlight w:val="none"/>
                <w:lang w:val="en-US" w:eastAsia="zh-CN"/>
              </w:rPr>
              <w:t>；须提供原件的扫描件，并加盖投标人公章，未提供或提供不全的不得分）。</w:t>
            </w:r>
          </w:p>
        </w:tc>
      </w:tr>
      <w:tr w14:paraId="2DC85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1306" w:type="dxa"/>
            <w:vMerge w:val="continue"/>
            <w:noWrap w:val="0"/>
            <w:vAlign w:val="center"/>
          </w:tcPr>
          <w:p w14:paraId="1F254628">
            <w:pPr>
              <w:keepNext w:val="0"/>
              <w:keepLines w:val="0"/>
              <w:pageBreakBefore w:val="0"/>
              <w:widowControl/>
              <w:kinsoku/>
              <w:wordWrap/>
              <w:overflowPunct/>
              <w:topLinePunct w:val="0"/>
              <w:autoSpaceDE/>
              <w:autoSpaceDN/>
              <w:bidi w:val="0"/>
              <w:adjustRightInd/>
              <w:spacing w:after="0" w:line="240" w:lineRule="auto"/>
              <w:ind w:firstLine="480" w:firstLineChars="0"/>
              <w:jc w:val="center"/>
              <w:textAlignment w:val="auto"/>
              <w:rPr>
                <w:rFonts w:hint="eastAsia" w:ascii="宋体" w:hAnsi="宋体" w:eastAsia="宋体" w:cs="宋体"/>
                <w:b/>
                <w:bCs/>
                <w:color w:val="auto"/>
                <w:sz w:val="21"/>
                <w:szCs w:val="21"/>
                <w:highlight w:val="none"/>
                <w:vertAlign w:val="baseline"/>
              </w:rPr>
            </w:pPr>
          </w:p>
        </w:tc>
        <w:tc>
          <w:tcPr>
            <w:tcW w:w="1367" w:type="dxa"/>
            <w:noWrap w:val="0"/>
            <w:vAlign w:val="center"/>
          </w:tcPr>
          <w:p w14:paraId="3752C6B6">
            <w:pPr>
              <w:keepNext w:val="0"/>
              <w:keepLines w:val="0"/>
              <w:pageBreakBefore w:val="0"/>
              <w:kinsoku/>
              <w:wordWrap/>
              <w:overflowPunct/>
              <w:topLinePunct w:val="0"/>
              <w:autoSpaceDE/>
              <w:autoSpaceDN/>
              <w:bidi w:val="0"/>
              <w:adjustRightInd/>
              <w:snapToGrid w:val="0"/>
              <w:spacing w:after="0"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承诺书（8分）</w:t>
            </w:r>
          </w:p>
        </w:tc>
        <w:tc>
          <w:tcPr>
            <w:tcW w:w="7007" w:type="dxa"/>
            <w:noWrap w:val="0"/>
            <w:vAlign w:val="center"/>
          </w:tcPr>
          <w:p w14:paraId="06B1C7D1">
            <w:pPr>
              <w:keepNext w:val="0"/>
              <w:keepLines w:val="0"/>
              <w:pageBreakBefore w:val="0"/>
              <w:numPr>
                <w:ilvl w:val="0"/>
                <w:numId w:val="5"/>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before="0" w:after="0" w:line="240" w:lineRule="auto"/>
              <w:ind w:left="0" w:leftChars="0" w:right="0" w:rightChars="0" w:firstLine="48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投标人自2022年1月1日以来，负责的公厕保洁及管护服务安全管理到位，未发生安全责任亡人事故的</w:t>
            </w:r>
            <w:r>
              <w:rPr>
                <w:rFonts w:hint="eastAsia" w:ascii="宋体" w:hAnsi="宋体" w:eastAsia="宋体" w:cs="宋体"/>
                <w:b/>
                <w:bCs/>
                <w:color w:val="auto"/>
                <w:sz w:val="21"/>
                <w:szCs w:val="21"/>
                <w:highlight w:val="none"/>
                <w:lang w:val="en-US" w:eastAsia="zh-CN"/>
              </w:rPr>
              <w:t>得2分。</w:t>
            </w:r>
          </w:p>
          <w:p w14:paraId="259FD146">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2.车辆配备情况</w:t>
            </w:r>
          </w:p>
          <w:p w14:paraId="347FC38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（1）投标人投标时须提供以下车辆配备承诺书（格式自拟）原件扫描件每有一件得1分，</w:t>
            </w:r>
            <w:r>
              <w:rPr>
                <w:rFonts w:hint="eastAsia" w:ascii="宋体" w:hAnsi="宋体" w:eastAsia="宋体" w:cs="宋体"/>
                <w:b/>
                <w:bCs/>
                <w:color w:val="auto"/>
                <w:sz w:val="21"/>
                <w:szCs w:val="21"/>
                <w:highlight w:val="none"/>
                <w:lang w:val="en-US" w:eastAsia="zh-CN"/>
              </w:rPr>
              <w:t>最多得6分。</w:t>
            </w:r>
          </w:p>
          <w:p w14:paraId="5CF7DD7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（1、）吸污车（总质量7000kg-7500kg）1辆；</w:t>
            </w:r>
          </w:p>
          <w:p w14:paraId="6F97BE1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（2、）吸污车（总质量4500kg-5000kg）1辆；</w:t>
            </w:r>
          </w:p>
          <w:p w14:paraId="0B47D1D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（3、）公厕管护巡查车（多用途货车）1辆；</w:t>
            </w:r>
          </w:p>
          <w:p w14:paraId="1E78186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（4、）轮式挖掘机（额定装载质量2500kg-3000kg）1辆；</w:t>
            </w:r>
          </w:p>
          <w:p w14:paraId="60905BF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（5、）轮式装载机（斗容量0.25m³-0.3m³）1辆； </w:t>
            </w:r>
          </w:p>
          <w:p w14:paraId="1C7C4D66">
            <w:pPr>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before="0" w:after="0" w:line="240" w:lineRule="auto"/>
              <w:ind w:left="480" w:leftChars="0" w:right="0" w:rightChars="0"/>
              <w:jc w:val="both"/>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（6、）电瓶垃圾清运车2辆。</w:t>
            </w:r>
          </w:p>
          <w:p w14:paraId="5A6A985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firstLine="420" w:firstLineChars="20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w:t>
            </w:r>
            <w:r>
              <w:rPr>
                <w:rFonts w:hint="eastAsia" w:ascii="宋体" w:hAnsi="宋体" w:cs="宋体"/>
                <w:color w:val="auto"/>
                <w:sz w:val="21"/>
                <w:szCs w:val="21"/>
                <w:highlight w:val="none"/>
                <w:lang w:val="en-US" w:eastAsia="zh-CN"/>
              </w:rPr>
              <w:t>不承诺的不得分，投标时需提供原件扫描件并加盖单位公章（承诺函格式自拟）</w:t>
            </w:r>
          </w:p>
        </w:tc>
      </w:tr>
      <w:tr w14:paraId="54E02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trPr>
        <w:tc>
          <w:tcPr>
            <w:tcW w:w="1306" w:type="dxa"/>
            <w:vMerge w:val="restart"/>
            <w:noWrap w:val="0"/>
            <w:vAlign w:val="center"/>
          </w:tcPr>
          <w:p w14:paraId="4F0D690E">
            <w:pPr>
              <w:keepNext w:val="0"/>
              <w:keepLines w:val="0"/>
              <w:pageBreakBefore w:val="0"/>
              <w:widowControl/>
              <w:kinsoku/>
              <w:wordWrap/>
              <w:overflowPunct/>
              <w:topLinePunct w:val="0"/>
              <w:autoSpaceDE/>
              <w:autoSpaceDN/>
              <w:bidi w:val="0"/>
              <w:adjustRightInd/>
              <w:spacing w:after="0" w:line="240" w:lineRule="auto"/>
              <w:jc w:val="center"/>
              <w:textAlignment w:val="auto"/>
              <w:rPr>
                <w:rFonts w:hint="eastAsia" w:ascii="宋体" w:hAnsi="宋体" w:eastAsia="宋体" w:cs="宋体"/>
                <w:b/>
                <w:bCs/>
                <w:color w:val="auto"/>
                <w:sz w:val="21"/>
                <w:szCs w:val="21"/>
                <w:highlight w:val="none"/>
                <w:vertAlign w:val="baseline"/>
              </w:rPr>
            </w:pP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方案（</w:t>
            </w:r>
            <w:r>
              <w:rPr>
                <w:rFonts w:hint="eastAsia" w:ascii="宋体" w:hAnsi="宋体" w:eastAsia="宋体" w:cs="宋体"/>
                <w:color w:val="auto"/>
                <w:sz w:val="21"/>
                <w:szCs w:val="21"/>
                <w:highlight w:val="none"/>
                <w:lang w:val="en-US" w:eastAsia="zh-CN"/>
              </w:rPr>
              <w:t>45</w:t>
            </w:r>
            <w:r>
              <w:rPr>
                <w:rFonts w:hint="eastAsia" w:ascii="宋体" w:hAnsi="宋体" w:eastAsia="宋体" w:cs="宋体"/>
                <w:color w:val="auto"/>
                <w:sz w:val="21"/>
                <w:szCs w:val="21"/>
                <w:highlight w:val="none"/>
              </w:rPr>
              <w:t>分）</w:t>
            </w:r>
          </w:p>
        </w:tc>
        <w:tc>
          <w:tcPr>
            <w:tcW w:w="1367" w:type="dxa"/>
            <w:noWrap w:val="0"/>
            <w:vAlign w:val="center"/>
          </w:tcPr>
          <w:p w14:paraId="7E4AF0A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服务整体设想与策划（</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tc>
        <w:tc>
          <w:tcPr>
            <w:tcW w:w="7007" w:type="dxa"/>
            <w:noWrap w:val="0"/>
            <w:vAlign w:val="center"/>
          </w:tcPr>
          <w:p w14:paraId="76821320">
            <w:pPr>
              <w:keepNext w:val="0"/>
              <w:keepLines w:val="0"/>
              <w:pageBreakBefore w:val="0"/>
              <w:suppressLineNumbers w:val="0"/>
              <w:tabs>
                <w:tab w:val="left" w:pos="0"/>
              </w:tabs>
              <w:kinsoku/>
              <w:wordWrap/>
              <w:overflowPunct/>
              <w:topLinePunct w:val="0"/>
              <w:autoSpaceDE/>
              <w:autoSpaceDN/>
              <w:bidi w:val="0"/>
              <w:adjustRightIn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1.服务整体设想与策划</w:t>
            </w:r>
          </w:p>
          <w:p w14:paraId="2EF28C63">
            <w:pPr>
              <w:keepNext w:val="0"/>
              <w:keepLines w:val="0"/>
              <w:pageBreakBefore w:val="0"/>
              <w:suppressLineNumbers w:val="0"/>
              <w:tabs>
                <w:tab w:val="left" w:pos="0"/>
              </w:tabs>
              <w:kinsoku/>
              <w:wordWrap/>
              <w:overflowPunct/>
              <w:topLinePunct w:val="0"/>
              <w:autoSpaceDE/>
              <w:autoSpaceDN/>
              <w:bidi w:val="0"/>
              <w:adjustRightInd/>
              <w:spacing w:before="0" w:beforeAutospacing="0" w:after="0" w:afterAutospacing="0" w:line="240" w:lineRule="auto"/>
              <w:ind w:left="0" w:right="0"/>
              <w:textAlignment w:val="auto"/>
              <w:rPr>
                <w:rFonts w:hint="eastAsia" w:ascii="宋体" w:hAnsi="宋体" w:eastAsia="宋体" w:cs="宋体"/>
                <w:b/>
                <w:bCs/>
                <w:color w:val="auto"/>
                <w:sz w:val="21"/>
                <w:szCs w:val="21"/>
                <w:highlight w:val="none"/>
                <w:vertAlign w:val="baseline"/>
              </w:rPr>
            </w:pPr>
            <w:r>
              <w:rPr>
                <w:rFonts w:hint="eastAsia" w:ascii="宋体" w:hAnsi="宋体" w:eastAsia="宋体" w:cs="宋体"/>
                <w:color w:val="auto"/>
                <w:sz w:val="21"/>
                <w:szCs w:val="21"/>
                <w:highlight w:val="none"/>
              </w:rPr>
              <w:t>针对本项目中项目概况、项目重难点分析、管理思路与管理模式、服务内容、服务标准、质量保证措施是否全面、得力</w:t>
            </w:r>
            <w:r>
              <w:rPr>
                <w:rFonts w:hint="eastAsia" w:ascii="宋体" w:hAnsi="宋体" w:eastAsia="宋体" w:cs="宋体"/>
                <w:color w:val="auto"/>
                <w:sz w:val="21"/>
                <w:szCs w:val="21"/>
                <w:highlight w:val="none"/>
                <w:lang w:val="en-US" w:eastAsia="zh-CN"/>
              </w:rPr>
              <w:t>等</w:t>
            </w:r>
            <w:r>
              <w:rPr>
                <w:rFonts w:hint="eastAsia" w:ascii="宋体" w:hAnsi="宋体" w:eastAsia="宋体" w:cs="宋体"/>
                <w:color w:val="auto"/>
                <w:sz w:val="21"/>
                <w:szCs w:val="21"/>
                <w:highlight w:val="none"/>
              </w:rPr>
              <w:t>情况进行</w:t>
            </w:r>
            <w:r>
              <w:rPr>
                <w:rFonts w:hint="eastAsia" w:ascii="宋体" w:hAnsi="宋体" w:eastAsia="宋体" w:cs="宋体"/>
                <w:color w:val="auto"/>
                <w:sz w:val="21"/>
                <w:szCs w:val="21"/>
                <w:highlight w:val="none"/>
                <w:lang w:val="en-US" w:eastAsia="zh-CN"/>
              </w:rPr>
              <w:t>综合评分</w:t>
            </w:r>
            <w:r>
              <w:rPr>
                <w:rFonts w:hint="eastAsia" w:ascii="宋体" w:hAnsi="宋体" w:eastAsia="宋体" w:cs="宋体"/>
                <w:color w:val="auto"/>
                <w:sz w:val="21"/>
                <w:szCs w:val="21"/>
                <w:highlight w:val="none"/>
              </w:rPr>
              <w:t>。</w:t>
            </w:r>
            <w:r>
              <w:rPr>
                <w:rFonts w:hint="eastAsia" w:ascii="仿宋" w:hAnsi="仿宋"/>
                <w:color w:val="auto"/>
                <w:szCs w:val="21"/>
                <w:highlight w:val="none"/>
                <w:lang w:val="en-US" w:eastAsia="zh-CN"/>
              </w:rPr>
              <w:t xml:space="preserve">优于项目需求得6分，满足项目需求得4分，不满足或不提供得0分。  </w:t>
            </w:r>
            <w:r>
              <w:rPr>
                <w:rFonts w:hint="eastAsia"/>
                <w:color w:val="auto"/>
                <w:sz w:val="21"/>
                <w:szCs w:val="21"/>
                <w:highlight w:val="none"/>
                <w:lang w:val="zh-TW" w:eastAsia="zh-CN"/>
              </w:rPr>
              <w:t xml:space="preserve"> </w:t>
            </w:r>
          </w:p>
        </w:tc>
      </w:tr>
      <w:tr w14:paraId="26942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9" w:hRule="atLeast"/>
        </w:trPr>
        <w:tc>
          <w:tcPr>
            <w:tcW w:w="1306" w:type="dxa"/>
            <w:vMerge w:val="continue"/>
            <w:noWrap w:val="0"/>
            <w:vAlign w:val="center"/>
          </w:tcPr>
          <w:p w14:paraId="4295FFEA">
            <w:pPr>
              <w:keepNext w:val="0"/>
              <w:keepLines w:val="0"/>
              <w:pageBreakBefore w:val="0"/>
              <w:widowControl/>
              <w:kinsoku/>
              <w:wordWrap/>
              <w:overflowPunct/>
              <w:topLinePunct w:val="0"/>
              <w:autoSpaceDE/>
              <w:autoSpaceDN/>
              <w:bidi w:val="0"/>
              <w:adjustRightInd/>
              <w:spacing w:after="0" w:line="240" w:lineRule="auto"/>
              <w:jc w:val="center"/>
              <w:textAlignment w:val="auto"/>
              <w:rPr>
                <w:rFonts w:hint="eastAsia" w:ascii="宋体" w:hAnsi="宋体" w:eastAsia="宋体" w:cs="宋体"/>
                <w:color w:val="auto"/>
                <w:sz w:val="21"/>
                <w:szCs w:val="21"/>
                <w:highlight w:val="none"/>
                <w:lang w:val="en-US" w:eastAsia="zh-CN"/>
              </w:rPr>
            </w:pPr>
          </w:p>
        </w:tc>
        <w:tc>
          <w:tcPr>
            <w:tcW w:w="1367" w:type="dxa"/>
            <w:noWrap w:val="0"/>
            <w:vAlign w:val="center"/>
          </w:tcPr>
          <w:p w14:paraId="07B5F71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项目管理组织机构及人员配置（</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tc>
        <w:tc>
          <w:tcPr>
            <w:tcW w:w="7007" w:type="dxa"/>
            <w:noWrap w:val="0"/>
            <w:vAlign w:val="center"/>
          </w:tcPr>
          <w:p w14:paraId="2809C164">
            <w:pPr>
              <w:keepNext w:val="0"/>
              <w:keepLines w:val="0"/>
              <w:pageBreakBefore w:val="0"/>
              <w:suppressLineNumbers w:val="0"/>
              <w:tabs>
                <w:tab w:val="left" w:pos="0"/>
              </w:tabs>
              <w:kinsoku/>
              <w:wordWrap/>
              <w:overflowPunct/>
              <w:topLinePunct w:val="0"/>
              <w:autoSpaceDE/>
              <w:autoSpaceDN/>
              <w:bidi w:val="0"/>
              <w:adjustRightIn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2.项目管理组织机构及人员配置</w:t>
            </w:r>
          </w:p>
          <w:p w14:paraId="69CFA1B1">
            <w:pPr>
              <w:keepNext w:val="0"/>
              <w:keepLines w:val="0"/>
              <w:pageBreakBefore w:val="0"/>
              <w:suppressLineNumbers w:val="0"/>
              <w:tabs>
                <w:tab w:val="left" w:pos="0"/>
              </w:tabs>
              <w:kinsoku/>
              <w:wordWrap/>
              <w:overflowPunct/>
              <w:topLinePunct w:val="0"/>
              <w:autoSpaceDE/>
              <w:autoSpaceDN/>
              <w:bidi w:val="0"/>
              <w:adjustRightInd/>
              <w:spacing w:before="0" w:beforeAutospacing="0" w:after="0" w:afterAutospacing="0" w:line="240" w:lineRule="auto"/>
              <w:ind w:left="0" w:right="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根据投标人针对本项目中项目管理机构、人员配置等情况</w:t>
            </w:r>
            <w:r>
              <w:rPr>
                <w:rFonts w:hint="eastAsia" w:ascii="宋体" w:hAnsi="宋体" w:eastAsia="宋体" w:cs="宋体"/>
                <w:color w:val="auto"/>
                <w:sz w:val="21"/>
                <w:szCs w:val="21"/>
                <w:highlight w:val="none"/>
                <w:lang w:eastAsia="zh-CN"/>
              </w:rPr>
              <w:t>进行</w:t>
            </w:r>
            <w:r>
              <w:rPr>
                <w:rFonts w:hint="eastAsia" w:ascii="宋体" w:hAnsi="宋体" w:eastAsia="宋体" w:cs="宋体"/>
                <w:color w:val="auto"/>
                <w:sz w:val="21"/>
                <w:szCs w:val="21"/>
                <w:highlight w:val="none"/>
                <w:lang w:val="en-US" w:eastAsia="zh-CN"/>
              </w:rPr>
              <w:t>综合评分</w:t>
            </w:r>
            <w:r>
              <w:rPr>
                <w:rFonts w:hint="eastAsia" w:ascii="宋体" w:hAnsi="宋体" w:eastAsia="宋体" w:cs="宋体"/>
                <w:color w:val="auto"/>
                <w:sz w:val="21"/>
                <w:szCs w:val="21"/>
                <w:highlight w:val="none"/>
                <w:lang w:eastAsia="zh-CN"/>
              </w:rPr>
              <w:t>，</w:t>
            </w:r>
            <w:r>
              <w:rPr>
                <w:rFonts w:hint="eastAsia" w:ascii="仿宋" w:hAnsi="仿宋"/>
                <w:color w:val="auto"/>
                <w:szCs w:val="21"/>
                <w:highlight w:val="none"/>
                <w:lang w:val="en-US" w:eastAsia="zh-CN"/>
              </w:rPr>
              <w:t xml:space="preserve">优于项目需求得7分，满足项目需求得5分，不满足或不提供得0分。  </w:t>
            </w:r>
            <w:r>
              <w:rPr>
                <w:rFonts w:hint="eastAsia"/>
                <w:color w:val="auto"/>
                <w:sz w:val="21"/>
                <w:szCs w:val="21"/>
                <w:highlight w:val="none"/>
                <w:lang w:val="zh-TW" w:eastAsia="zh-CN"/>
              </w:rPr>
              <w:t xml:space="preserve"> </w:t>
            </w:r>
          </w:p>
        </w:tc>
      </w:tr>
      <w:tr w14:paraId="73C53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trPr>
        <w:tc>
          <w:tcPr>
            <w:tcW w:w="1306" w:type="dxa"/>
            <w:vMerge w:val="continue"/>
            <w:noWrap w:val="0"/>
            <w:vAlign w:val="center"/>
          </w:tcPr>
          <w:p w14:paraId="4B1A3917">
            <w:pPr>
              <w:keepNext w:val="0"/>
              <w:keepLines w:val="0"/>
              <w:pageBreakBefore w:val="0"/>
              <w:widowControl/>
              <w:kinsoku/>
              <w:wordWrap/>
              <w:overflowPunct/>
              <w:topLinePunct w:val="0"/>
              <w:autoSpaceDE/>
              <w:autoSpaceDN/>
              <w:bidi w:val="0"/>
              <w:adjustRightInd/>
              <w:spacing w:after="0" w:line="240" w:lineRule="auto"/>
              <w:jc w:val="center"/>
              <w:textAlignment w:val="auto"/>
              <w:rPr>
                <w:rFonts w:hint="eastAsia" w:ascii="宋体" w:hAnsi="宋体" w:eastAsia="宋体" w:cs="宋体"/>
                <w:color w:val="auto"/>
                <w:sz w:val="21"/>
                <w:szCs w:val="21"/>
                <w:highlight w:val="none"/>
                <w:lang w:val="en-US" w:eastAsia="zh-CN"/>
              </w:rPr>
            </w:pPr>
          </w:p>
        </w:tc>
        <w:tc>
          <w:tcPr>
            <w:tcW w:w="1367" w:type="dxa"/>
            <w:noWrap w:val="0"/>
            <w:vAlign w:val="center"/>
          </w:tcPr>
          <w:p w14:paraId="55E4A8A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保障措施</w:t>
            </w:r>
          </w:p>
          <w:p w14:paraId="02D9DDC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tc>
        <w:tc>
          <w:tcPr>
            <w:tcW w:w="7007" w:type="dxa"/>
            <w:noWrap w:val="0"/>
            <w:vAlign w:val="center"/>
          </w:tcPr>
          <w:p w14:paraId="57103D41">
            <w:pPr>
              <w:spacing w:after="0" w:line="320" w:lineRule="exact"/>
              <w:rPr>
                <w:rFonts w:ascii="宋体" w:hAnsi="宋体" w:eastAsia="宋体" w:cs="宋体"/>
                <w:bCs/>
                <w:sz w:val="24"/>
              </w:rPr>
            </w:pPr>
            <w:r>
              <w:rPr>
                <w:rFonts w:hint="eastAsia" w:ascii="宋体" w:hAnsi="宋体" w:eastAsia="宋体" w:cs="宋体"/>
                <w:bCs/>
                <w:sz w:val="24"/>
              </w:rPr>
              <w:t>3.项目物资配备</w:t>
            </w:r>
          </w:p>
          <w:p w14:paraId="7469F59C">
            <w:pPr>
              <w:keepNext w:val="0"/>
              <w:keepLines w:val="0"/>
              <w:pageBreakBefore w:val="0"/>
              <w:suppressLineNumbers w:val="0"/>
              <w:tabs>
                <w:tab w:val="left" w:pos="0"/>
              </w:tabs>
              <w:kinsoku/>
              <w:wordWrap/>
              <w:overflowPunct/>
              <w:topLinePunct w:val="0"/>
              <w:autoSpaceDE/>
              <w:autoSpaceDN/>
              <w:bidi w:val="0"/>
              <w:adjustRightIn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bCs/>
                <w:color w:val="auto"/>
              </w:rPr>
              <w:t>根据投标人针对本项目中物资配备</w:t>
            </w:r>
            <w:r>
              <w:rPr>
                <w:rFonts w:hint="eastAsia" w:ascii="宋体" w:hAnsi="宋体" w:eastAsia="宋体" w:cs="宋体"/>
                <w:bCs/>
                <w:color w:val="auto"/>
                <w:lang w:val="en-US" w:eastAsia="zh-CN"/>
              </w:rPr>
              <w:t>等</w:t>
            </w:r>
            <w:r>
              <w:rPr>
                <w:rFonts w:hint="eastAsia" w:ascii="宋体" w:hAnsi="宋体" w:eastAsia="宋体" w:cs="宋体"/>
                <w:bCs/>
                <w:color w:val="auto"/>
              </w:rPr>
              <w:t>内容</w:t>
            </w:r>
            <w:r>
              <w:rPr>
                <w:rFonts w:hint="eastAsia" w:ascii="宋体" w:hAnsi="宋体" w:eastAsia="宋体" w:cs="宋体"/>
                <w:color w:val="auto"/>
                <w:sz w:val="21"/>
                <w:szCs w:val="21"/>
                <w:highlight w:val="none"/>
                <w:lang w:eastAsia="zh-CN"/>
              </w:rPr>
              <w:t>进行</w:t>
            </w:r>
            <w:r>
              <w:rPr>
                <w:rFonts w:hint="eastAsia" w:ascii="宋体" w:hAnsi="宋体" w:eastAsia="宋体" w:cs="宋体"/>
                <w:color w:val="auto"/>
                <w:sz w:val="21"/>
                <w:szCs w:val="21"/>
                <w:highlight w:val="none"/>
                <w:lang w:val="en-US" w:eastAsia="zh-CN"/>
              </w:rPr>
              <w:t>综合评分</w:t>
            </w:r>
            <w:r>
              <w:rPr>
                <w:rFonts w:hint="eastAsia" w:ascii="宋体" w:hAnsi="宋体" w:eastAsia="宋体" w:cs="宋体"/>
                <w:color w:val="auto"/>
                <w:sz w:val="21"/>
                <w:szCs w:val="21"/>
                <w:highlight w:val="none"/>
                <w:lang w:eastAsia="zh-CN"/>
              </w:rPr>
              <w:t>，</w:t>
            </w:r>
            <w:r>
              <w:rPr>
                <w:rFonts w:hint="eastAsia" w:ascii="仿宋" w:hAnsi="仿宋"/>
                <w:color w:val="auto"/>
                <w:szCs w:val="21"/>
                <w:highlight w:val="none"/>
                <w:lang w:val="en-US" w:eastAsia="zh-CN"/>
              </w:rPr>
              <w:t xml:space="preserve">优于项目需求得6分，满足项目需求得4分，不满足或不提供得0分。  </w:t>
            </w:r>
            <w:r>
              <w:rPr>
                <w:rFonts w:hint="eastAsia"/>
                <w:color w:val="auto"/>
                <w:sz w:val="21"/>
                <w:szCs w:val="21"/>
                <w:highlight w:val="none"/>
                <w:lang w:val="zh-TW" w:eastAsia="zh-CN"/>
              </w:rPr>
              <w:t xml:space="preserve"> </w:t>
            </w:r>
          </w:p>
        </w:tc>
      </w:tr>
      <w:tr w14:paraId="5D8B9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4" w:hRule="atLeast"/>
        </w:trPr>
        <w:tc>
          <w:tcPr>
            <w:tcW w:w="1306" w:type="dxa"/>
            <w:vMerge w:val="continue"/>
            <w:noWrap w:val="0"/>
            <w:vAlign w:val="center"/>
          </w:tcPr>
          <w:p w14:paraId="68BF6DC3">
            <w:pPr>
              <w:keepNext w:val="0"/>
              <w:keepLines w:val="0"/>
              <w:pageBreakBefore w:val="0"/>
              <w:widowControl/>
              <w:kinsoku/>
              <w:wordWrap/>
              <w:overflowPunct/>
              <w:topLinePunct w:val="0"/>
              <w:autoSpaceDE/>
              <w:autoSpaceDN/>
              <w:bidi w:val="0"/>
              <w:adjustRightInd/>
              <w:spacing w:after="0" w:line="240" w:lineRule="auto"/>
              <w:jc w:val="center"/>
              <w:textAlignment w:val="auto"/>
              <w:rPr>
                <w:rFonts w:hint="eastAsia" w:ascii="宋体" w:hAnsi="宋体" w:eastAsia="宋体" w:cs="宋体"/>
                <w:color w:val="auto"/>
                <w:sz w:val="21"/>
                <w:szCs w:val="21"/>
                <w:highlight w:val="none"/>
                <w:lang w:val="en-US" w:eastAsia="zh-CN"/>
              </w:rPr>
            </w:pPr>
          </w:p>
        </w:tc>
        <w:tc>
          <w:tcPr>
            <w:tcW w:w="1367" w:type="dxa"/>
            <w:noWrap w:val="0"/>
            <w:vAlign w:val="center"/>
          </w:tcPr>
          <w:p w14:paraId="514C91E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cs="宋体"/>
                <w:color w:val="auto"/>
                <w:sz w:val="21"/>
                <w:szCs w:val="21"/>
                <w:highlight w:val="none"/>
                <w:lang w:eastAsia="zh-CN"/>
              </w:rPr>
            </w:pPr>
            <w:r>
              <w:rPr>
                <w:rFonts w:hint="eastAsia" w:ascii="宋体" w:hAnsi="宋体" w:eastAsia="宋体" w:cs="宋体"/>
                <w:bCs/>
                <w:sz w:val="24"/>
              </w:rPr>
              <w:t>管理规章制度</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6分</w:t>
            </w:r>
            <w:r>
              <w:rPr>
                <w:rFonts w:hint="eastAsia" w:ascii="宋体" w:hAnsi="宋体" w:cs="宋体"/>
                <w:color w:val="auto"/>
                <w:sz w:val="21"/>
                <w:szCs w:val="21"/>
                <w:highlight w:val="none"/>
                <w:lang w:eastAsia="zh-CN"/>
              </w:rPr>
              <w:t>）</w:t>
            </w:r>
          </w:p>
        </w:tc>
        <w:tc>
          <w:tcPr>
            <w:tcW w:w="7007" w:type="dxa"/>
            <w:noWrap w:val="0"/>
            <w:vAlign w:val="center"/>
          </w:tcPr>
          <w:p w14:paraId="6950C3BD">
            <w:pPr>
              <w:spacing w:after="0" w:line="320" w:lineRule="exact"/>
              <w:rPr>
                <w:rFonts w:ascii="宋体" w:hAnsi="宋体" w:eastAsia="宋体" w:cs="宋体"/>
                <w:bCs/>
                <w:sz w:val="24"/>
              </w:rPr>
            </w:pPr>
            <w:r>
              <w:rPr>
                <w:rFonts w:hint="eastAsia" w:ascii="宋体" w:hAnsi="宋体" w:eastAsia="宋体" w:cs="宋体"/>
                <w:bCs/>
                <w:sz w:val="24"/>
              </w:rPr>
              <w:t>4.管理规章制度</w:t>
            </w:r>
          </w:p>
          <w:p w14:paraId="39D02783">
            <w:pPr>
              <w:keepNext w:val="0"/>
              <w:keepLines w:val="0"/>
              <w:pageBreakBefore w:val="0"/>
              <w:suppressLineNumbers w:val="0"/>
              <w:tabs>
                <w:tab w:val="left" w:pos="0"/>
              </w:tabs>
              <w:kinsoku/>
              <w:wordWrap/>
              <w:overflowPunct/>
              <w:topLinePunct w:val="0"/>
              <w:autoSpaceDE/>
              <w:autoSpaceDN/>
              <w:bidi w:val="0"/>
              <w:adjustRightInd/>
              <w:spacing w:before="0" w:beforeAutospacing="0" w:after="0" w:afterAutospacing="0" w:line="24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bCs/>
                <w:color w:val="auto"/>
              </w:rPr>
              <w:t>根据投标人针对本项目中所提供的各项管理规章制度的严格性、全面性、可行性、如档案管理制度、人员管理制度、重大事件报告制度</w:t>
            </w:r>
            <w:r>
              <w:rPr>
                <w:rFonts w:hint="eastAsia" w:ascii="宋体" w:hAnsi="宋体" w:eastAsia="宋体" w:cs="宋体"/>
                <w:color w:val="auto"/>
                <w:sz w:val="21"/>
                <w:szCs w:val="21"/>
                <w:highlight w:val="none"/>
              </w:rPr>
              <w:t>等方案，</w:t>
            </w:r>
            <w:r>
              <w:rPr>
                <w:rFonts w:hint="eastAsia" w:ascii="宋体" w:hAnsi="宋体" w:eastAsia="宋体" w:cs="宋体"/>
                <w:color w:val="auto"/>
                <w:sz w:val="21"/>
                <w:szCs w:val="21"/>
                <w:highlight w:val="none"/>
                <w:lang w:eastAsia="zh-CN"/>
              </w:rPr>
              <w:t>进行</w:t>
            </w:r>
            <w:r>
              <w:rPr>
                <w:rFonts w:hint="eastAsia" w:ascii="宋体" w:hAnsi="宋体" w:eastAsia="宋体" w:cs="宋体"/>
                <w:color w:val="auto"/>
                <w:sz w:val="21"/>
                <w:szCs w:val="21"/>
                <w:highlight w:val="none"/>
                <w:lang w:val="en-US" w:eastAsia="zh-CN"/>
              </w:rPr>
              <w:t>综合评分</w:t>
            </w:r>
            <w:r>
              <w:rPr>
                <w:rFonts w:hint="eastAsia" w:ascii="宋体" w:hAnsi="宋体" w:eastAsia="宋体" w:cs="宋体"/>
                <w:color w:val="auto"/>
                <w:sz w:val="21"/>
                <w:szCs w:val="21"/>
                <w:highlight w:val="none"/>
                <w:lang w:eastAsia="zh-CN"/>
              </w:rPr>
              <w:t>，建设</w:t>
            </w:r>
            <w:r>
              <w:rPr>
                <w:rFonts w:hint="eastAsia" w:ascii="宋体" w:hAnsi="宋体" w:eastAsia="宋体" w:cs="宋体"/>
                <w:color w:val="auto"/>
                <w:sz w:val="21"/>
                <w:szCs w:val="21"/>
                <w:highlight w:val="none"/>
              </w:rPr>
              <w:t>方案内容切实可行，符合实际情况，具有的科学性和可操作性</w:t>
            </w:r>
            <w:r>
              <w:rPr>
                <w:rFonts w:hint="eastAsia" w:ascii="宋体" w:hAnsi="宋体" w:eastAsia="宋体" w:cs="宋体"/>
                <w:color w:val="auto"/>
                <w:sz w:val="21"/>
                <w:szCs w:val="21"/>
                <w:highlight w:val="none"/>
                <w:lang w:eastAsia="zh-CN"/>
              </w:rPr>
              <w:t>。</w:t>
            </w:r>
            <w:r>
              <w:rPr>
                <w:rFonts w:hint="eastAsia" w:ascii="仿宋" w:hAnsi="仿宋"/>
                <w:color w:val="auto"/>
                <w:szCs w:val="21"/>
                <w:highlight w:val="none"/>
                <w:lang w:val="en-US" w:eastAsia="zh-CN"/>
              </w:rPr>
              <w:t xml:space="preserve">优于项目需求得6分，满足项目需求得4分，不满足或不提供得0分。  </w:t>
            </w:r>
            <w:r>
              <w:rPr>
                <w:rFonts w:hint="eastAsia"/>
                <w:color w:val="auto"/>
                <w:sz w:val="21"/>
                <w:szCs w:val="21"/>
                <w:highlight w:val="none"/>
                <w:lang w:val="zh-TW" w:eastAsia="zh-CN"/>
              </w:rPr>
              <w:t xml:space="preserve"> </w:t>
            </w:r>
          </w:p>
        </w:tc>
      </w:tr>
      <w:tr w14:paraId="49EAE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2" w:hRule="atLeast"/>
        </w:trPr>
        <w:tc>
          <w:tcPr>
            <w:tcW w:w="1306" w:type="dxa"/>
            <w:vMerge w:val="continue"/>
            <w:noWrap w:val="0"/>
            <w:vAlign w:val="center"/>
          </w:tcPr>
          <w:p w14:paraId="077F4746">
            <w:pPr>
              <w:keepNext w:val="0"/>
              <w:keepLines w:val="0"/>
              <w:pageBreakBefore w:val="0"/>
              <w:widowControl/>
              <w:kinsoku/>
              <w:wordWrap/>
              <w:overflowPunct/>
              <w:topLinePunct w:val="0"/>
              <w:autoSpaceDE/>
              <w:autoSpaceDN/>
              <w:bidi w:val="0"/>
              <w:adjustRightInd/>
              <w:spacing w:after="0" w:line="240" w:lineRule="auto"/>
              <w:jc w:val="center"/>
              <w:textAlignment w:val="auto"/>
              <w:rPr>
                <w:rFonts w:hint="eastAsia" w:ascii="宋体" w:hAnsi="宋体" w:eastAsia="宋体" w:cs="宋体"/>
                <w:color w:val="auto"/>
                <w:sz w:val="21"/>
                <w:szCs w:val="21"/>
                <w:highlight w:val="none"/>
                <w:lang w:val="en-US" w:eastAsia="zh-CN"/>
              </w:rPr>
            </w:pPr>
          </w:p>
        </w:tc>
        <w:tc>
          <w:tcPr>
            <w:tcW w:w="1367" w:type="dxa"/>
            <w:noWrap w:val="0"/>
            <w:vAlign w:val="center"/>
          </w:tcPr>
          <w:p w14:paraId="5378BEB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Cs/>
                <w:sz w:val="24"/>
              </w:rPr>
              <w:t>项目管理运作服务方案</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tc>
        <w:tc>
          <w:tcPr>
            <w:tcW w:w="7007" w:type="dxa"/>
            <w:noWrap w:val="0"/>
            <w:vAlign w:val="center"/>
          </w:tcPr>
          <w:p w14:paraId="293D2B3D">
            <w:pPr>
              <w:spacing w:after="0" w:line="320" w:lineRule="exact"/>
              <w:rPr>
                <w:rFonts w:ascii="宋体" w:hAnsi="宋体" w:eastAsia="宋体" w:cs="宋体"/>
                <w:bCs/>
                <w:sz w:val="24"/>
              </w:rPr>
            </w:pPr>
            <w:r>
              <w:rPr>
                <w:rFonts w:hint="eastAsia" w:ascii="宋体" w:hAnsi="宋体" w:eastAsia="宋体" w:cs="宋体"/>
                <w:bCs/>
                <w:sz w:val="24"/>
              </w:rPr>
              <w:t>5.项目管理运作服务方案</w:t>
            </w:r>
          </w:p>
          <w:p w14:paraId="7848D7CF">
            <w:pPr>
              <w:keepNext w:val="0"/>
              <w:keepLines w:val="0"/>
              <w:pageBreakBefore w:val="0"/>
              <w:suppressLineNumbers w:val="0"/>
              <w:tabs>
                <w:tab w:val="left" w:pos="0"/>
              </w:tabs>
              <w:kinsoku/>
              <w:wordWrap/>
              <w:overflowPunct/>
              <w:topLinePunct w:val="0"/>
              <w:autoSpaceDE/>
              <w:autoSpaceDN/>
              <w:bidi w:val="0"/>
              <w:adjustRightInd/>
              <w:spacing w:before="0" w:beforeAutospacing="0" w:after="0" w:afterAutospacing="0" w:line="240" w:lineRule="auto"/>
              <w:ind w:left="0" w:right="0"/>
              <w:textAlignment w:val="auto"/>
              <w:rPr>
                <w:rFonts w:hint="eastAsia" w:ascii="宋体" w:hAnsi="宋体" w:eastAsia="宋体" w:cs="宋体"/>
                <w:b/>
                <w:bCs/>
                <w:color w:val="auto"/>
                <w:sz w:val="21"/>
                <w:szCs w:val="21"/>
                <w:highlight w:val="none"/>
                <w:vertAlign w:val="baseline"/>
              </w:rPr>
            </w:pPr>
            <w:r>
              <w:rPr>
                <w:rFonts w:hint="eastAsia" w:ascii="宋体" w:hAnsi="宋体" w:eastAsia="宋体" w:cs="宋体"/>
                <w:bCs/>
                <w:color w:val="auto"/>
              </w:rPr>
              <w:t>根据投标人对本项目的要求，提供完整的公厕日常保洁及管护</w:t>
            </w:r>
            <w:r>
              <w:rPr>
                <w:rFonts w:hint="eastAsia" w:ascii="宋体" w:hAnsi="宋体" w:eastAsia="宋体" w:cs="宋体"/>
                <w:bCs/>
                <w:color w:val="auto"/>
                <w:lang w:val="en-US" w:eastAsia="zh-CN"/>
              </w:rPr>
              <w:t>等方案</w:t>
            </w:r>
            <w:r>
              <w:rPr>
                <w:rFonts w:hint="eastAsia" w:ascii="宋体" w:hAnsi="宋体" w:eastAsia="宋体" w:cs="宋体"/>
                <w:color w:val="auto"/>
                <w:sz w:val="21"/>
                <w:szCs w:val="21"/>
                <w:highlight w:val="none"/>
              </w:rPr>
              <w:t>进行综合评</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lang w:eastAsia="zh-CN"/>
              </w:rPr>
              <w:t>，</w:t>
            </w:r>
            <w:r>
              <w:rPr>
                <w:rFonts w:hint="eastAsia" w:ascii="仿宋" w:hAnsi="仿宋"/>
                <w:color w:val="auto"/>
                <w:szCs w:val="21"/>
                <w:highlight w:val="none"/>
                <w:lang w:val="en-US" w:eastAsia="zh-CN"/>
              </w:rPr>
              <w:t xml:space="preserve">优于项目需求得7分，满足项目需求得5分，不满足或不提供得0分。  </w:t>
            </w:r>
            <w:r>
              <w:rPr>
                <w:rFonts w:hint="eastAsia"/>
                <w:color w:val="auto"/>
                <w:sz w:val="21"/>
                <w:szCs w:val="21"/>
                <w:highlight w:val="none"/>
                <w:lang w:val="zh-TW" w:eastAsia="zh-CN"/>
              </w:rPr>
              <w:t xml:space="preserve"> </w:t>
            </w:r>
          </w:p>
        </w:tc>
      </w:tr>
      <w:tr w14:paraId="615C0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1306" w:type="dxa"/>
            <w:vMerge w:val="continue"/>
            <w:noWrap w:val="0"/>
            <w:vAlign w:val="center"/>
          </w:tcPr>
          <w:p w14:paraId="3DB47EA4">
            <w:pPr>
              <w:keepNext w:val="0"/>
              <w:keepLines w:val="0"/>
              <w:pageBreakBefore w:val="0"/>
              <w:widowControl/>
              <w:kinsoku/>
              <w:wordWrap/>
              <w:overflowPunct/>
              <w:topLinePunct w:val="0"/>
              <w:autoSpaceDE/>
              <w:autoSpaceDN/>
              <w:bidi w:val="0"/>
              <w:adjustRightInd/>
              <w:spacing w:after="0" w:line="240" w:lineRule="auto"/>
              <w:jc w:val="center"/>
              <w:textAlignment w:val="auto"/>
              <w:rPr>
                <w:rFonts w:hint="eastAsia" w:ascii="宋体" w:hAnsi="宋体" w:eastAsia="宋体" w:cs="宋体"/>
                <w:color w:val="auto"/>
                <w:sz w:val="21"/>
                <w:szCs w:val="21"/>
                <w:highlight w:val="none"/>
                <w:lang w:val="en-US" w:eastAsia="zh-CN"/>
              </w:rPr>
            </w:pPr>
          </w:p>
        </w:tc>
        <w:tc>
          <w:tcPr>
            <w:tcW w:w="1367" w:type="dxa"/>
            <w:noWrap w:val="0"/>
            <w:vAlign w:val="center"/>
          </w:tcPr>
          <w:p w14:paraId="0E57636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Cs/>
                <w:sz w:val="24"/>
              </w:rPr>
            </w:pPr>
            <w:r>
              <w:rPr>
                <w:rFonts w:hint="eastAsia" w:ascii="宋体" w:hAnsi="宋体" w:eastAsia="宋体" w:cs="宋体"/>
                <w:bCs/>
                <w:sz w:val="24"/>
              </w:rPr>
              <w:t>人员培训方案</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tc>
        <w:tc>
          <w:tcPr>
            <w:tcW w:w="7007" w:type="dxa"/>
            <w:noWrap w:val="0"/>
            <w:vAlign w:val="center"/>
          </w:tcPr>
          <w:p w14:paraId="229FB659">
            <w:pPr>
              <w:pStyle w:val="227"/>
              <w:spacing w:after="0" w:line="320" w:lineRule="exact"/>
              <w:rPr>
                <w:rFonts w:ascii="宋体" w:hAnsi="宋体" w:eastAsia="宋体" w:cs="宋体"/>
                <w:bCs/>
                <w:sz w:val="24"/>
              </w:rPr>
            </w:pPr>
            <w:r>
              <w:rPr>
                <w:rFonts w:hint="eastAsia" w:ascii="宋体" w:hAnsi="宋体" w:eastAsia="宋体" w:cs="宋体"/>
                <w:bCs/>
                <w:sz w:val="24"/>
              </w:rPr>
              <w:t>6.人员培训方案</w:t>
            </w:r>
          </w:p>
          <w:p w14:paraId="482C8C35">
            <w:pPr>
              <w:keepNext w:val="0"/>
              <w:keepLines w:val="0"/>
              <w:pageBreakBefore w:val="0"/>
              <w:suppressLineNumbers w:val="0"/>
              <w:tabs>
                <w:tab w:val="left" w:pos="0"/>
              </w:tabs>
              <w:kinsoku/>
              <w:wordWrap/>
              <w:overflowPunct/>
              <w:topLinePunct w:val="0"/>
              <w:autoSpaceDE/>
              <w:autoSpaceDN/>
              <w:bidi w:val="0"/>
              <w:adjustRightInd/>
              <w:spacing w:before="0" w:beforeAutospacing="0" w:after="0" w:afterAutospacing="0" w:line="240" w:lineRule="auto"/>
              <w:ind w:left="0" w:right="0"/>
              <w:textAlignment w:val="auto"/>
              <w:rPr>
                <w:rFonts w:hint="eastAsia" w:ascii="宋体" w:hAnsi="宋体" w:eastAsia="宋体" w:cs="宋体"/>
                <w:bCs/>
                <w:color w:val="auto"/>
              </w:rPr>
            </w:pPr>
            <w:r>
              <w:rPr>
                <w:rFonts w:hint="eastAsia" w:ascii="宋体" w:hAnsi="宋体" w:eastAsia="宋体" w:cs="宋体"/>
                <w:bCs/>
                <w:color w:val="auto"/>
              </w:rPr>
              <w:t>投标人针对本项目提供的培训方案，须包含培训目标、培训方式、培训内容等</w:t>
            </w:r>
            <w:r>
              <w:rPr>
                <w:rFonts w:hint="eastAsia" w:ascii="宋体" w:hAnsi="宋体" w:eastAsia="宋体" w:cs="宋体"/>
                <w:bCs/>
                <w:color w:val="auto"/>
                <w:lang w:val="en-US" w:eastAsia="zh-CN"/>
              </w:rPr>
              <w:t>方案</w:t>
            </w:r>
            <w:r>
              <w:rPr>
                <w:rFonts w:hint="eastAsia" w:ascii="宋体" w:hAnsi="宋体" w:eastAsia="宋体" w:cs="宋体"/>
                <w:color w:val="auto"/>
                <w:sz w:val="21"/>
                <w:szCs w:val="21"/>
                <w:highlight w:val="none"/>
              </w:rPr>
              <w:t>进行综合评</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lang w:eastAsia="zh-CN"/>
              </w:rPr>
              <w:t>，</w:t>
            </w:r>
            <w:r>
              <w:rPr>
                <w:rFonts w:hint="eastAsia" w:ascii="仿宋" w:hAnsi="仿宋"/>
                <w:color w:val="auto"/>
                <w:szCs w:val="21"/>
                <w:highlight w:val="none"/>
                <w:lang w:val="en-US" w:eastAsia="zh-CN"/>
              </w:rPr>
              <w:t xml:space="preserve">优于项目需求得6分，满足项目需求得4分，不满足或不提供得0分。 </w:t>
            </w:r>
          </w:p>
        </w:tc>
      </w:tr>
      <w:tr w14:paraId="0235D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1306" w:type="dxa"/>
            <w:vMerge w:val="continue"/>
            <w:noWrap w:val="0"/>
            <w:vAlign w:val="center"/>
          </w:tcPr>
          <w:p w14:paraId="7D58C67F">
            <w:pPr>
              <w:keepNext w:val="0"/>
              <w:keepLines w:val="0"/>
              <w:pageBreakBefore w:val="0"/>
              <w:widowControl/>
              <w:kinsoku/>
              <w:wordWrap/>
              <w:overflowPunct/>
              <w:topLinePunct w:val="0"/>
              <w:autoSpaceDE/>
              <w:autoSpaceDN/>
              <w:bidi w:val="0"/>
              <w:adjustRightInd/>
              <w:spacing w:after="0" w:line="240" w:lineRule="auto"/>
              <w:jc w:val="center"/>
              <w:textAlignment w:val="auto"/>
              <w:rPr>
                <w:rFonts w:hint="eastAsia" w:ascii="宋体" w:hAnsi="宋体" w:eastAsia="宋体" w:cs="宋体"/>
                <w:color w:val="auto"/>
                <w:sz w:val="21"/>
                <w:szCs w:val="21"/>
                <w:highlight w:val="none"/>
                <w:lang w:val="en-US" w:eastAsia="zh-CN"/>
              </w:rPr>
            </w:pPr>
          </w:p>
        </w:tc>
        <w:tc>
          <w:tcPr>
            <w:tcW w:w="1367" w:type="dxa"/>
            <w:noWrap w:val="0"/>
            <w:vAlign w:val="center"/>
          </w:tcPr>
          <w:p w14:paraId="77FCA89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Cs/>
                <w:sz w:val="24"/>
              </w:rPr>
            </w:pPr>
            <w:r>
              <w:rPr>
                <w:rFonts w:hint="eastAsia" w:ascii="宋体" w:hAnsi="宋体" w:eastAsia="宋体" w:cs="宋体"/>
                <w:bCs/>
                <w:sz w:val="24"/>
              </w:rPr>
              <w:t>应急预案</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tc>
        <w:tc>
          <w:tcPr>
            <w:tcW w:w="7007" w:type="dxa"/>
            <w:noWrap w:val="0"/>
            <w:vAlign w:val="center"/>
          </w:tcPr>
          <w:p w14:paraId="20B39C01">
            <w:pPr>
              <w:spacing w:after="0" w:line="320" w:lineRule="exact"/>
              <w:rPr>
                <w:rFonts w:ascii="宋体" w:hAnsi="宋体" w:eastAsia="宋体" w:cs="宋体"/>
                <w:bCs/>
                <w:sz w:val="24"/>
              </w:rPr>
            </w:pPr>
            <w:r>
              <w:rPr>
                <w:rFonts w:hint="eastAsia" w:ascii="宋体" w:hAnsi="宋体" w:eastAsia="宋体" w:cs="宋体"/>
                <w:bCs/>
                <w:sz w:val="24"/>
              </w:rPr>
              <w:t>7.应急预案</w:t>
            </w:r>
          </w:p>
          <w:p w14:paraId="21A431EE">
            <w:pPr>
              <w:keepNext w:val="0"/>
              <w:keepLines w:val="0"/>
              <w:pageBreakBefore w:val="0"/>
              <w:suppressLineNumbers w:val="0"/>
              <w:tabs>
                <w:tab w:val="left" w:pos="0"/>
              </w:tabs>
              <w:kinsoku/>
              <w:wordWrap/>
              <w:overflowPunct/>
              <w:topLinePunct w:val="0"/>
              <w:autoSpaceDE/>
              <w:autoSpaceDN/>
              <w:bidi w:val="0"/>
              <w:adjustRightInd/>
              <w:spacing w:before="0" w:beforeAutospacing="0" w:after="0" w:afterAutospacing="0" w:line="240" w:lineRule="auto"/>
              <w:ind w:left="0" w:right="0"/>
              <w:textAlignment w:val="auto"/>
              <w:rPr>
                <w:rFonts w:hint="eastAsia" w:ascii="宋体" w:hAnsi="宋体" w:eastAsia="宋体" w:cs="宋体"/>
                <w:bCs/>
                <w:color w:val="auto"/>
              </w:rPr>
            </w:pPr>
            <w:r>
              <w:rPr>
                <w:rFonts w:hint="eastAsia" w:ascii="宋体" w:hAnsi="宋体" w:eastAsia="宋体" w:cs="宋体"/>
                <w:bCs/>
                <w:color w:val="auto"/>
              </w:rPr>
              <w:t>评标委员会根据投标人针对本项目中应急预案的内容</w:t>
            </w:r>
            <w:r>
              <w:rPr>
                <w:rFonts w:hint="eastAsia" w:ascii="宋体" w:hAnsi="宋体" w:eastAsia="宋体" w:cs="宋体"/>
                <w:color w:val="auto"/>
                <w:sz w:val="21"/>
                <w:szCs w:val="21"/>
                <w:highlight w:val="none"/>
              </w:rPr>
              <w:t>进行综合评</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lang w:eastAsia="zh-CN"/>
              </w:rPr>
              <w:t>，</w:t>
            </w:r>
            <w:r>
              <w:rPr>
                <w:rFonts w:hint="eastAsia" w:ascii="仿宋" w:hAnsi="仿宋"/>
                <w:color w:val="auto"/>
                <w:szCs w:val="21"/>
                <w:highlight w:val="none"/>
                <w:lang w:val="en-US" w:eastAsia="zh-CN"/>
              </w:rPr>
              <w:t xml:space="preserve">优于项目需求得7分，满足项目需求得5分，不满足或不提供得0分。 </w:t>
            </w:r>
          </w:p>
        </w:tc>
      </w:tr>
    </w:tbl>
    <w:p w14:paraId="0C4A9700">
      <w:pPr>
        <w:pStyle w:val="36"/>
        <w:keepNext/>
        <w:spacing w:beforeAutospacing="0" w:afterAutospacing="0"/>
        <w:jc w:val="left"/>
        <w:rPr>
          <w:rFonts w:hint="eastAsia" w:eastAsia="宋体" w:asciiTheme="majorEastAsia" w:hAnsiTheme="majorEastAsia" w:cstheme="majorEastAsia"/>
          <w:color w:val="auto"/>
          <w:sz w:val="44"/>
          <w:szCs w:val="44"/>
          <w:highlight w:val="none"/>
          <w:lang w:val="en-US" w:eastAsia="zh-CN"/>
        </w:rPr>
      </w:pPr>
    </w:p>
    <w:p w14:paraId="44064A29">
      <w:pPr>
        <w:pStyle w:val="47"/>
        <w:rPr>
          <w:rFonts w:hint="default" w:eastAsia="宋体" w:asciiTheme="majorEastAsia" w:hAnsiTheme="majorEastAsia" w:cstheme="majorEastAsia"/>
          <w:color w:val="auto"/>
          <w:sz w:val="44"/>
          <w:szCs w:val="44"/>
          <w:highlight w:val="none"/>
          <w:lang w:val="en-US" w:eastAsia="zh-CN"/>
        </w:rPr>
        <w:sectPr>
          <w:pgSz w:w="11906" w:h="16838"/>
          <w:pgMar w:top="607" w:right="850" w:bottom="850" w:left="1134" w:header="851" w:footer="992" w:gutter="0"/>
          <w:cols w:space="425" w:num="1"/>
          <w:docGrid w:linePitch="360" w:charSpace="0"/>
        </w:sectPr>
      </w:pPr>
      <w:r>
        <w:rPr>
          <w:rFonts w:hint="eastAsia" w:ascii="宋体" w:hAnsi="宋体" w:eastAsia="宋体" w:cs="宋体"/>
          <w:b/>
          <w:bCs/>
          <w:color w:val="auto"/>
        </w:rPr>
        <w:t>备注：投标人需签订合同前将车辆配置到位，如配置不到位的，将取消中标资格。</w:t>
      </w:r>
    </w:p>
    <w:p w14:paraId="5CB999B7">
      <w:pPr>
        <w:pStyle w:val="36"/>
        <w:keepNext/>
        <w:spacing w:beforeAutospacing="0" w:afterAutospacing="0"/>
        <w:jc w:val="both"/>
        <w:rPr>
          <w:rFonts w:hint="eastAsia" w:asciiTheme="majorEastAsia" w:hAnsiTheme="majorEastAsia" w:eastAsiaTheme="majorEastAsia" w:cstheme="majorEastAsia"/>
          <w:color w:val="auto"/>
          <w:sz w:val="44"/>
          <w:szCs w:val="44"/>
          <w:highlight w:val="none"/>
        </w:rPr>
      </w:pPr>
    </w:p>
    <w:p w14:paraId="3E3E5432">
      <w:pPr>
        <w:pStyle w:val="36"/>
        <w:keepNext/>
        <w:spacing w:beforeAutospacing="0" w:afterAutospacing="0"/>
        <w:jc w:val="center"/>
        <w:rPr>
          <w:rFonts w:hint="eastAsia" w:asciiTheme="majorEastAsia" w:hAnsiTheme="majorEastAsia" w:eastAsiaTheme="majorEastAsia" w:cstheme="majorEastAsia"/>
          <w:color w:val="auto"/>
          <w:sz w:val="44"/>
          <w:szCs w:val="44"/>
          <w:highlight w:val="none"/>
        </w:rPr>
      </w:pPr>
    </w:p>
    <w:p w14:paraId="15ABC91E">
      <w:pPr>
        <w:pStyle w:val="36"/>
        <w:keepNext/>
        <w:spacing w:beforeAutospacing="0" w:afterAutospacing="0"/>
        <w:jc w:val="center"/>
        <w:rPr>
          <w:rFonts w:hint="eastAsia" w:asciiTheme="majorEastAsia" w:hAnsiTheme="majorEastAsia" w:eastAsiaTheme="majorEastAsia" w:cstheme="majorEastAsia"/>
          <w:color w:val="auto"/>
          <w:sz w:val="44"/>
          <w:szCs w:val="44"/>
          <w:highlight w:val="none"/>
        </w:rPr>
      </w:pPr>
    </w:p>
    <w:p w14:paraId="3C776F0A">
      <w:pPr>
        <w:pStyle w:val="36"/>
        <w:keepNext/>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44"/>
          <w:szCs w:val="44"/>
          <w:highlight w:val="none"/>
        </w:rPr>
        <w:t>第六章  投标文件格式</w:t>
      </w:r>
    </w:p>
    <w:p w14:paraId="5219EC44">
      <w:pPr>
        <w:pStyle w:val="36"/>
        <w:spacing w:beforeAutospacing="0" w:afterAutospacing="0"/>
        <w:jc w:val="center"/>
        <w:rPr>
          <w:rFonts w:hint="eastAsia" w:asciiTheme="majorEastAsia" w:hAnsiTheme="majorEastAsia" w:eastAsiaTheme="majorEastAsia" w:cstheme="majorEastAsia"/>
          <w:b/>
          <w:color w:val="auto"/>
          <w:sz w:val="72"/>
          <w:szCs w:val="72"/>
          <w:highlight w:val="none"/>
        </w:rPr>
      </w:pPr>
      <w:bookmarkStart w:id="189" w:name="_Hlt26671244"/>
      <w:bookmarkEnd w:id="189"/>
      <w:bookmarkStart w:id="190" w:name="_Toc26554094"/>
      <w:bookmarkEnd w:id="190"/>
      <w:bookmarkStart w:id="191" w:name="_Hlt26955039"/>
      <w:bookmarkEnd w:id="191"/>
      <w:bookmarkStart w:id="192" w:name="_Toc120614282"/>
      <w:bookmarkStart w:id="193" w:name="_Toc49090576"/>
    </w:p>
    <w:p w14:paraId="230FF87B">
      <w:pPr>
        <w:pStyle w:val="36"/>
        <w:spacing w:beforeAutospacing="0" w:afterAutospacing="0"/>
        <w:jc w:val="center"/>
        <w:rPr>
          <w:rFonts w:hint="eastAsia" w:asciiTheme="majorEastAsia" w:hAnsiTheme="majorEastAsia" w:eastAsiaTheme="majorEastAsia" w:cstheme="majorEastAsia"/>
          <w:b/>
          <w:color w:val="auto"/>
          <w:sz w:val="72"/>
          <w:szCs w:val="72"/>
          <w:highlight w:val="none"/>
        </w:rPr>
      </w:pPr>
    </w:p>
    <w:p w14:paraId="294035BB">
      <w:pPr>
        <w:pStyle w:val="36"/>
        <w:spacing w:beforeAutospacing="0" w:afterAutospacing="0"/>
        <w:jc w:val="center"/>
        <w:rPr>
          <w:rFonts w:hint="eastAsia" w:asciiTheme="majorEastAsia" w:hAnsiTheme="majorEastAsia" w:eastAsiaTheme="majorEastAsia" w:cstheme="majorEastAsia"/>
          <w:b/>
          <w:color w:val="auto"/>
          <w:sz w:val="72"/>
          <w:szCs w:val="72"/>
          <w:highlight w:val="none"/>
        </w:rPr>
      </w:pPr>
    </w:p>
    <w:p w14:paraId="02F97D81">
      <w:pPr>
        <w:pStyle w:val="36"/>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72"/>
          <w:szCs w:val="72"/>
          <w:highlight w:val="none"/>
        </w:rPr>
        <w:t>投  标  文  件</w:t>
      </w:r>
    </w:p>
    <w:p w14:paraId="5513B5DA">
      <w:pPr>
        <w:pStyle w:val="36"/>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CF42283">
      <w:pPr>
        <w:pStyle w:val="36"/>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2F790393">
      <w:pPr>
        <w:pStyle w:val="36"/>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5355243B">
      <w:pPr>
        <w:pStyle w:val="36"/>
        <w:spacing w:beforeAutospacing="0" w:afterAutospacing="0"/>
        <w:jc w:val="center"/>
        <w:rPr>
          <w:rFonts w:hint="eastAsia" w:asciiTheme="majorEastAsia" w:hAnsiTheme="majorEastAsia" w:eastAsiaTheme="majorEastAsia" w:cstheme="majorEastAsia"/>
          <w:color w:val="auto"/>
          <w:highlight w:val="none"/>
        </w:rPr>
      </w:pPr>
    </w:p>
    <w:p w14:paraId="33CDB546">
      <w:pPr>
        <w:pStyle w:val="36"/>
        <w:spacing w:beforeAutospacing="0" w:afterAutospacing="0"/>
        <w:jc w:val="center"/>
        <w:rPr>
          <w:rFonts w:hint="eastAsia" w:asciiTheme="majorEastAsia" w:hAnsiTheme="majorEastAsia" w:eastAsiaTheme="majorEastAsia" w:cstheme="majorEastAsia"/>
          <w:color w:val="auto"/>
          <w:highlight w:val="none"/>
        </w:rPr>
      </w:pPr>
    </w:p>
    <w:p w14:paraId="1107FA61">
      <w:pPr>
        <w:pStyle w:val="36"/>
        <w:spacing w:beforeAutospacing="0" w:afterAutospacing="0"/>
        <w:jc w:val="center"/>
        <w:rPr>
          <w:rFonts w:hint="eastAsia" w:asciiTheme="majorEastAsia" w:hAnsiTheme="majorEastAsia" w:eastAsiaTheme="majorEastAsia" w:cstheme="majorEastAsia"/>
          <w:color w:val="auto"/>
          <w:highlight w:val="none"/>
        </w:rPr>
      </w:pPr>
    </w:p>
    <w:p w14:paraId="145BE3C2">
      <w:pPr>
        <w:pStyle w:val="36"/>
        <w:spacing w:beforeAutospacing="0" w:afterAutospacing="0"/>
        <w:jc w:val="center"/>
        <w:rPr>
          <w:rFonts w:hint="eastAsia" w:asciiTheme="majorEastAsia" w:hAnsiTheme="majorEastAsia" w:eastAsiaTheme="majorEastAsia" w:cstheme="majorEastAsia"/>
          <w:color w:val="auto"/>
          <w:highlight w:val="none"/>
        </w:rPr>
      </w:pPr>
    </w:p>
    <w:p w14:paraId="55720197">
      <w:pPr>
        <w:pStyle w:val="36"/>
        <w:spacing w:beforeAutospacing="0" w:afterAutospacing="0"/>
        <w:jc w:val="center"/>
        <w:rPr>
          <w:rFonts w:hint="eastAsia" w:asciiTheme="majorEastAsia" w:hAnsiTheme="majorEastAsia" w:eastAsiaTheme="majorEastAsia" w:cstheme="majorEastAsia"/>
          <w:color w:val="auto"/>
          <w:highlight w:val="none"/>
        </w:rPr>
      </w:pPr>
    </w:p>
    <w:p w14:paraId="2FB2DC5A">
      <w:pPr>
        <w:pStyle w:val="36"/>
        <w:spacing w:beforeAutospacing="0" w:afterAutospacing="0"/>
        <w:jc w:val="center"/>
        <w:rPr>
          <w:rFonts w:hint="eastAsia" w:asciiTheme="majorEastAsia" w:hAnsiTheme="majorEastAsia" w:eastAsiaTheme="majorEastAsia" w:cstheme="majorEastAsia"/>
          <w:color w:val="auto"/>
          <w:highlight w:val="none"/>
        </w:rPr>
      </w:pPr>
    </w:p>
    <w:p w14:paraId="520E342C">
      <w:pPr>
        <w:pStyle w:val="36"/>
        <w:spacing w:beforeAutospacing="0" w:afterAutospacing="0"/>
        <w:jc w:val="center"/>
        <w:rPr>
          <w:rFonts w:hint="eastAsia" w:asciiTheme="majorEastAsia" w:hAnsiTheme="majorEastAsia" w:eastAsiaTheme="majorEastAsia" w:cstheme="majorEastAsia"/>
          <w:color w:val="auto"/>
          <w:highlight w:val="none"/>
        </w:rPr>
      </w:pPr>
    </w:p>
    <w:p w14:paraId="4AEA4981">
      <w:pPr>
        <w:pStyle w:val="36"/>
        <w:spacing w:beforeAutospacing="0" w:afterAutospacing="0"/>
        <w:jc w:val="center"/>
        <w:rPr>
          <w:rFonts w:hint="eastAsia" w:asciiTheme="majorEastAsia" w:hAnsiTheme="majorEastAsia" w:eastAsiaTheme="majorEastAsia" w:cstheme="majorEastAsia"/>
          <w:color w:val="auto"/>
          <w:highlight w:val="none"/>
        </w:rPr>
      </w:pPr>
    </w:p>
    <w:p w14:paraId="61831FFA">
      <w:pPr>
        <w:pStyle w:val="36"/>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6C727756">
      <w:pPr>
        <w:pStyle w:val="36"/>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5ACA4E8D">
      <w:pPr>
        <w:pStyle w:val="36"/>
        <w:spacing w:beforeAutospacing="0" w:afterAutospacing="0"/>
        <w:ind w:firstLine="1084"/>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项目 名 称：</w:t>
      </w:r>
      <w:r>
        <w:rPr>
          <w:rFonts w:hint="eastAsia" w:asciiTheme="majorEastAsia" w:hAnsiTheme="majorEastAsia" w:eastAsiaTheme="majorEastAsia" w:cstheme="majorEastAsia"/>
          <w:b/>
          <w:color w:val="auto"/>
          <w:sz w:val="36"/>
          <w:szCs w:val="36"/>
          <w:highlight w:val="none"/>
          <w:u w:val="single"/>
        </w:rPr>
        <w:t>            </w:t>
      </w:r>
      <w:r>
        <w:rPr>
          <w:rFonts w:hint="eastAsia" w:eastAsia="宋体" w:asciiTheme="majorEastAsia" w:hAnsiTheme="majorEastAsia" w:cstheme="majorEastAsia"/>
          <w:b/>
          <w:color w:val="auto"/>
          <w:sz w:val="36"/>
          <w:szCs w:val="36"/>
          <w:highlight w:val="none"/>
          <w:u w:val="single"/>
          <w:lang w:val="en-US" w:eastAsia="zh-CN"/>
        </w:rPr>
        <w:t xml:space="preserve">                    </w:t>
      </w:r>
      <w:r>
        <w:rPr>
          <w:rFonts w:hint="eastAsia" w:asciiTheme="majorEastAsia" w:hAnsiTheme="majorEastAsia" w:eastAsiaTheme="majorEastAsia" w:cstheme="majorEastAsia"/>
          <w:b/>
          <w:color w:val="auto"/>
          <w:sz w:val="36"/>
          <w:szCs w:val="36"/>
          <w:highlight w:val="none"/>
          <w:u w:val="single"/>
        </w:rPr>
        <w:t xml:space="preserve">   </w:t>
      </w:r>
    </w:p>
    <w:p w14:paraId="7E36FE89">
      <w:pPr>
        <w:pStyle w:val="36"/>
        <w:spacing w:beforeAutospacing="0" w:afterAutospacing="0"/>
        <w:ind w:firstLine="1084"/>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项目 编 号：</w:t>
      </w:r>
      <w:r>
        <w:rPr>
          <w:rFonts w:hint="eastAsia" w:asciiTheme="majorEastAsia" w:hAnsiTheme="majorEastAsia" w:eastAsiaTheme="majorEastAsia" w:cstheme="majorEastAsia"/>
          <w:b/>
          <w:color w:val="auto"/>
          <w:sz w:val="36"/>
          <w:szCs w:val="36"/>
          <w:highlight w:val="none"/>
          <w:u w:val="single"/>
        </w:rPr>
        <w:t>            </w:t>
      </w:r>
      <w:r>
        <w:rPr>
          <w:rFonts w:hint="eastAsia" w:eastAsia="宋体" w:asciiTheme="majorEastAsia" w:hAnsiTheme="majorEastAsia" w:cstheme="majorEastAsia"/>
          <w:b/>
          <w:color w:val="auto"/>
          <w:sz w:val="36"/>
          <w:szCs w:val="36"/>
          <w:highlight w:val="none"/>
          <w:u w:val="single"/>
          <w:lang w:val="en-US" w:eastAsia="zh-CN"/>
        </w:rPr>
        <w:t xml:space="preserve">                    </w:t>
      </w:r>
      <w:r>
        <w:rPr>
          <w:rFonts w:hint="eastAsia" w:asciiTheme="majorEastAsia" w:hAnsiTheme="majorEastAsia" w:eastAsiaTheme="majorEastAsia" w:cstheme="majorEastAsia"/>
          <w:b/>
          <w:color w:val="auto"/>
          <w:sz w:val="36"/>
          <w:szCs w:val="36"/>
          <w:highlight w:val="none"/>
          <w:u w:val="single"/>
        </w:rPr>
        <w:t xml:space="preserve">   </w:t>
      </w:r>
    </w:p>
    <w:p w14:paraId="581FF6F4">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 </w:t>
      </w:r>
      <w:r>
        <w:rPr>
          <w:rFonts w:hint="eastAsia" w:eastAsia="宋体" w:asciiTheme="majorEastAsia" w:hAnsiTheme="majorEastAsia" w:cstheme="majorEastAsia"/>
          <w:b/>
          <w:color w:val="auto"/>
          <w:sz w:val="36"/>
          <w:szCs w:val="36"/>
          <w:highlight w:val="none"/>
          <w:lang w:val="en-US" w:eastAsia="zh-CN"/>
        </w:rPr>
        <w:t xml:space="preserve">    </w:t>
      </w:r>
      <w:r>
        <w:rPr>
          <w:rFonts w:hint="eastAsia" w:asciiTheme="majorEastAsia" w:hAnsiTheme="majorEastAsia" w:eastAsiaTheme="majorEastAsia" w:cstheme="majorEastAsia"/>
          <w:b/>
          <w:color w:val="auto"/>
          <w:sz w:val="36"/>
          <w:szCs w:val="36"/>
          <w:highlight w:val="none"/>
        </w:rPr>
        <w:t>  投标人名称 ：</w:t>
      </w:r>
      <w:r>
        <w:rPr>
          <w:rFonts w:hint="eastAsia" w:asciiTheme="majorEastAsia" w:hAnsiTheme="majorEastAsia" w:eastAsiaTheme="majorEastAsia" w:cstheme="majorEastAsia"/>
          <w:b/>
          <w:color w:val="auto"/>
          <w:sz w:val="36"/>
          <w:szCs w:val="36"/>
          <w:highlight w:val="none"/>
          <w:u w:val="single"/>
        </w:rPr>
        <w:t xml:space="preserve">（加盖CA电子公章）        </w:t>
      </w:r>
    </w:p>
    <w:p w14:paraId="16FEE42A">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   </w:t>
      </w:r>
      <w:r>
        <w:rPr>
          <w:rFonts w:hint="eastAsia" w:eastAsia="宋体" w:asciiTheme="majorEastAsia" w:hAnsiTheme="majorEastAsia" w:cstheme="majorEastAsia"/>
          <w:b/>
          <w:color w:val="auto"/>
          <w:sz w:val="36"/>
          <w:szCs w:val="36"/>
          <w:highlight w:val="none"/>
          <w:lang w:val="en-US" w:eastAsia="zh-CN"/>
        </w:rPr>
        <w:t xml:space="preserve">    </w:t>
      </w:r>
      <w:r>
        <w:rPr>
          <w:rFonts w:hint="eastAsia" w:asciiTheme="majorEastAsia" w:hAnsiTheme="majorEastAsia" w:eastAsiaTheme="majorEastAsia" w:cstheme="majorEastAsia"/>
          <w:b/>
          <w:color w:val="auto"/>
          <w:sz w:val="36"/>
          <w:szCs w:val="36"/>
          <w:highlight w:val="none"/>
        </w:rPr>
        <w:t>日   期 ：</w:t>
      </w:r>
      <w:r>
        <w:rPr>
          <w:rFonts w:hint="eastAsia" w:asciiTheme="majorEastAsia" w:hAnsiTheme="majorEastAsia" w:eastAsiaTheme="majorEastAsia" w:cstheme="majorEastAsia"/>
          <w:b/>
          <w:color w:val="auto"/>
          <w:sz w:val="36"/>
          <w:szCs w:val="36"/>
          <w:highlight w:val="none"/>
          <w:u w:val="single"/>
        </w:rPr>
        <w:t xml:space="preserve">              </w:t>
      </w:r>
      <w:r>
        <w:rPr>
          <w:rFonts w:hint="eastAsia" w:eastAsia="宋体" w:asciiTheme="majorEastAsia" w:hAnsiTheme="majorEastAsia" w:cstheme="majorEastAsia"/>
          <w:b/>
          <w:color w:val="auto"/>
          <w:sz w:val="36"/>
          <w:szCs w:val="36"/>
          <w:highlight w:val="none"/>
          <w:u w:val="single"/>
          <w:lang w:val="en-US" w:eastAsia="zh-CN"/>
        </w:rPr>
        <w:t xml:space="preserve">              </w:t>
      </w:r>
      <w:r>
        <w:rPr>
          <w:rFonts w:hint="eastAsia" w:asciiTheme="majorEastAsia" w:hAnsiTheme="majorEastAsia" w:eastAsiaTheme="majorEastAsia" w:cstheme="majorEastAsia"/>
          <w:b/>
          <w:color w:val="auto"/>
          <w:sz w:val="36"/>
          <w:szCs w:val="36"/>
          <w:highlight w:val="none"/>
          <w:u w:val="single"/>
        </w:rPr>
        <w:t xml:space="preserve">       </w:t>
      </w:r>
    </w:p>
    <w:p w14:paraId="7F6EAF0D">
      <w:pPr>
        <w:pStyle w:val="36"/>
        <w:spacing w:beforeAutospacing="0" w:afterAutospacing="0" w:line="0" w:lineRule="atLeas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07E8BDE6">
      <w:pPr>
        <w:pStyle w:val="36"/>
        <w:spacing w:beforeAutospacing="0" w:afterAutospacing="0" w:line="0" w:lineRule="atLeast"/>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2FFEADF2">
      <w:pPr>
        <w:pStyle w:val="36"/>
        <w:spacing w:beforeAutospacing="0" w:afterAutospacing="0" w:line="0" w:lineRule="atLeast"/>
        <w:jc w:val="center"/>
        <w:rPr>
          <w:rFonts w:hint="eastAsia" w:asciiTheme="majorEastAsia" w:hAnsiTheme="majorEastAsia" w:eastAsiaTheme="majorEastAsia" w:cstheme="majorEastAsia"/>
          <w:b/>
          <w:color w:val="auto"/>
          <w:sz w:val="36"/>
          <w:szCs w:val="36"/>
          <w:highlight w:val="none"/>
          <w:u w:val="single"/>
        </w:rPr>
      </w:pPr>
    </w:p>
    <w:p w14:paraId="0A898CB8">
      <w:pPr>
        <w:pStyle w:val="36"/>
        <w:spacing w:beforeAutospacing="0" w:afterAutospacing="0" w:line="0" w:lineRule="atLeast"/>
        <w:jc w:val="center"/>
        <w:rPr>
          <w:rFonts w:hint="eastAsia" w:asciiTheme="majorEastAsia" w:hAnsiTheme="majorEastAsia" w:eastAsiaTheme="majorEastAsia" w:cstheme="majorEastAsia"/>
          <w:b/>
          <w:color w:val="auto"/>
          <w:sz w:val="36"/>
          <w:szCs w:val="36"/>
          <w:highlight w:val="none"/>
          <w:u w:val="single"/>
        </w:rPr>
      </w:pPr>
    </w:p>
    <w:p w14:paraId="5F3D02B0">
      <w:pPr>
        <w:pStyle w:val="36"/>
        <w:spacing w:beforeAutospacing="0" w:afterAutospacing="0" w:line="0" w:lineRule="atLeast"/>
        <w:jc w:val="center"/>
        <w:rPr>
          <w:rFonts w:hint="eastAsia" w:asciiTheme="majorEastAsia" w:hAnsiTheme="majorEastAsia" w:eastAsiaTheme="majorEastAsia" w:cstheme="majorEastAsia"/>
          <w:b/>
          <w:color w:val="auto"/>
          <w:sz w:val="36"/>
          <w:szCs w:val="36"/>
          <w:highlight w:val="none"/>
          <w:u w:val="single"/>
        </w:rPr>
      </w:pPr>
    </w:p>
    <w:p w14:paraId="294D43BE">
      <w:pPr>
        <w:pStyle w:val="36"/>
        <w:spacing w:beforeAutospacing="0" w:afterAutospacing="0" w:line="0" w:lineRule="atLeast"/>
        <w:jc w:val="center"/>
        <w:rPr>
          <w:rFonts w:hint="eastAsia" w:asciiTheme="majorEastAsia" w:hAnsiTheme="majorEastAsia" w:eastAsiaTheme="majorEastAsia" w:cstheme="majorEastAsia"/>
          <w:b/>
          <w:color w:val="auto"/>
          <w:sz w:val="36"/>
          <w:szCs w:val="36"/>
          <w:highlight w:val="none"/>
          <w:u w:val="single"/>
        </w:rPr>
      </w:pPr>
    </w:p>
    <w:p w14:paraId="5DD5375B">
      <w:pPr>
        <w:pStyle w:val="36"/>
        <w:spacing w:beforeAutospacing="0" w:afterAutospacing="0" w:line="0" w:lineRule="atLeast"/>
        <w:jc w:val="center"/>
        <w:rPr>
          <w:rFonts w:hint="eastAsia" w:asciiTheme="majorEastAsia" w:hAnsiTheme="majorEastAsia" w:eastAsiaTheme="majorEastAsia" w:cstheme="majorEastAsia"/>
          <w:b/>
          <w:color w:val="auto"/>
          <w:sz w:val="36"/>
          <w:szCs w:val="36"/>
          <w:highlight w:val="none"/>
          <w:u w:val="single"/>
        </w:rPr>
      </w:pPr>
    </w:p>
    <w:p w14:paraId="7AC7E01B">
      <w:pPr>
        <w:pStyle w:val="36"/>
        <w:spacing w:beforeAutospacing="0" w:afterAutospacing="0" w:line="0" w:lineRule="atLeast"/>
        <w:jc w:val="center"/>
        <w:rPr>
          <w:rFonts w:hint="eastAsia" w:asciiTheme="majorEastAsia" w:hAnsiTheme="majorEastAsia" w:eastAsiaTheme="majorEastAsia" w:cstheme="majorEastAsia"/>
          <w:b/>
          <w:color w:val="auto"/>
          <w:sz w:val="36"/>
          <w:szCs w:val="36"/>
          <w:highlight w:val="none"/>
          <w:u w:val="single"/>
        </w:rPr>
      </w:pPr>
    </w:p>
    <w:p w14:paraId="7D2981AD">
      <w:pPr>
        <w:pStyle w:val="36"/>
        <w:spacing w:beforeAutospacing="0" w:afterAutospacing="0" w:line="0" w:lineRule="atLeast"/>
        <w:jc w:val="both"/>
        <w:rPr>
          <w:rFonts w:hint="eastAsia" w:asciiTheme="majorEastAsia" w:hAnsiTheme="majorEastAsia" w:eastAsiaTheme="majorEastAsia" w:cstheme="majorEastAsia"/>
          <w:b/>
          <w:color w:val="auto"/>
          <w:sz w:val="32"/>
          <w:szCs w:val="32"/>
          <w:highlight w:val="none"/>
        </w:rPr>
      </w:pPr>
    </w:p>
    <w:p w14:paraId="233516CC">
      <w:pPr>
        <w:pStyle w:val="36"/>
        <w:spacing w:beforeAutospacing="0" w:afterAutospacing="0" w:line="0" w:lineRule="atLeast"/>
        <w:jc w:val="both"/>
        <w:rPr>
          <w:rFonts w:hint="eastAsia" w:asciiTheme="majorEastAsia" w:hAnsiTheme="majorEastAsia" w:eastAsiaTheme="majorEastAsia" w:cstheme="majorEastAsia"/>
          <w:b/>
          <w:color w:val="auto"/>
          <w:sz w:val="32"/>
          <w:szCs w:val="32"/>
          <w:highlight w:val="none"/>
        </w:rPr>
      </w:pPr>
    </w:p>
    <w:p w14:paraId="21BA6277">
      <w:pPr>
        <w:pStyle w:val="36"/>
        <w:spacing w:beforeAutospacing="0" w:afterAutospacing="0" w:line="0" w:lineRule="atLeast"/>
        <w:jc w:val="center"/>
        <w:rPr>
          <w:rFonts w:hint="eastAsia" w:asciiTheme="majorEastAsia" w:hAnsiTheme="majorEastAsia" w:eastAsiaTheme="majorEastAsia" w:cstheme="majorEastAsia"/>
          <w:b/>
          <w:color w:val="auto"/>
          <w:sz w:val="32"/>
          <w:szCs w:val="32"/>
          <w:highlight w:val="none"/>
        </w:rPr>
      </w:pPr>
    </w:p>
    <w:p w14:paraId="360CB4C1">
      <w:pPr>
        <w:pStyle w:val="36"/>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投标文件目录</w:t>
      </w:r>
    </w:p>
    <w:p w14:paraId="238224BE">
      <w:pPr>
        <w:pStyle w:val="36"/>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C9A2C82">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一、法人或者其他组织的营业执照等证明文件，自然人的身份证明</w:t>
      </w:r>
    </w:p>
    <w:p w14:paraId="321D08CC">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lang w:val="en-US" w:eastAsia="zh-CN"/>
        </w:rPr>
      </w:pPr>
      <w:r>
        <w:rPr>
          <w:rFonts w:hint="eastAsia" w:asciiTheme="minorEastAsia" w:hAnsiTheme="minorEastAsia" w:eastAsiaTheme="minorEastAsia" w:cstheme="minorEastAsia"/>
          <w:i/>
          <w:iCs/>
          <w:color w:val="auto"/>
          <w:sz w:val="24"/>
          <w:szCs w:val="24"/>
          <w:highlight w:val="none"/>
          <w:u w:val="single"/>
          <w:lang w:val="en-US" w:eastAsia="zh-CN"/>
        </w:rPr>
        <w:t>二、上</w:t>
      </w:r>
      <w:r>
        <w:rPr>
          <w:rFonts w:hint="eastAsia" w:asciiTheme="minorEastAsia" w:hAnsiTheme="minorEastAsia" w:cstheme="minorEastAsia"/>
          <w:i/>
          <w:iCs/>
          <w:color w:val="auto"/>
          <w:sz w:val="24"/>
          <w:szCs w:val="24"/>
          <w:highlight w:val="none"/>
          <w:u w:val="single"/>
          <w:lang w:val="en-US" w:eastAsia="zh-CN"/>
        </w:rPr>
        <w:t>一年</w:t>
      </w:r>
      <w:r>
        <w:rPr>
          <w:rFonts w:hint="eastAsia" w:asciiTheme="minorEastAsia" w:hAnsiTheme="minorEastAsia" w:eastAsiaTheme="minorEastAsia" w:cstheme="minorEastAsia"/>
          <w:i/>
          <w:iCs/>
          <w:color w:val="auto"/>
          <w:sz w:val="24"/>
          <w:szCs w:val="24"/>
          <w:highlight w:val="none"/>
          <w:u w:val="single"/>
          <w:lang w:val="en-US" w:eastAsia="zh-CN"/>
        </w:rPr>
        <w:t>度的财务状况报表（至少提供资产负债表、利润表、现金流量表，投标人成立不满</w:t>
      </w:r>
      <w:r>
        <w:rPr>
          <w:rFonts w:hint="eastAsia" w:asciiTheme="minorEastAsia" w:hAnsiTheme="minorEastAsia" w:cstheme="minorEastAsia"/>
          <w:i/>
          <w:iCs/>
          <w:color w:val="auto"/>
          <w:sz w:val="24"/>
          <w:szCs w:val="24"/>
          <w:highlight w:val="none"/>
          <w:u w:val="single"/>
          <w:lang w:val="en-US" w:eastAsia="zh-CN"/>
        </w:rPr>
        <w:t>一年</w:t>
      </w:r>
      <w:r>
        <w:rPr>
          <w:rFonts w:hint="eastAsia" w:asciiTheme="minorEastAsia" w:hAnsiTheme="minorEastAsia" w:eastAsiaTheme="minorEastAsia" w:cstheme="minorEastAsia"/>
          <w:i/>
          <w:iCs/>
          <w:color w:val="auto"/>
          <w:sz w:val="24"/>
          <w:szCs w:val="24"/>
          <w:highlight w:val="none"/>
          <w:u w:val="single"/>
          <w:lang w:val="en-US" w:eastAsia="zh-CN"/>
        </w:rPr>
        <w:t>无需提供）</w:t>
      </w:r>
    </w:p>
    <w:p w14:paraId="65636EC7">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val="en-US" w:eastAsia="zh-CN"/>
        </w:rPr>
        <w:t>三</w:t>
      </w:r>
      <w:r>
        <w:rPr>
          <w:rFonts w:hint="eastAsia" w:asciiTheme="minorEastAsia" w:hAnsiTheme="minorEastAsia" w:eastAsiaTheme="minorEastAsia" w:cstheme="minorEastAsia"/>
          <w:i/>
          <w:iCs/>
          <w:color w:val="auto"/>
          <w:sz w:val="24"/>
          <w:szCs w:val="24"/>
          <w:highlight w:val="none"/>
          <w:u w:val="single"/>
        </w:rPr>
        <w:t>、具备履行合同所必需的设备和专业技术能力的书面声明</w:t>
      </w:r>
    </w:p>
    <w:p w14:paraId="38830E04">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val="en-US" w:eastAsia="zh-CN"/>
        </w:rPr>
        <w:t>四</w:t>
      </w:r>
      <w:r>
        <w:rPr>
          <w:rFonts w:hint="eastAsia" w:asciiTheme="minorEastAsia" w:hAnsiTheme="minorEastAsia" w:eastAsiaTheme="minorEastAsia" w:cstheme="minorEastAsia"/>
          <w:i/>
          <w:iCs/>
          <w:color w:val="auto"/>
          <w:sz w:val="24"/>
          <w:szCs w:val="24"/>
          <w:highlight w:val="none"/>
          <w:u w:val="single"/>
        </w:rPr>
        <w:t>、依法缴纳税收和社会保障资金的相关材料（提供提交投标文件截止时间前</w:t>
      </w:r>
      <w:r>
        <w:rPr>
          <w:rFonts w:hint="eastAsia" w:eastAsia="宋体" w:asciiTheme="minorEastAsia" w:hAnsiTheme="minorEastAsia" w:cstheme="minorEastAsia"/>
          <w:i/>
          <w:iCs/>
          <w:color w:val="auto"/>
          <w:sz w:val="24"/>
          <w:szCs w:val="24"/>
          <w:highlight w:val="none"/>
          <w:u w:val="single"/>
          <w:lang w:val="en-US" w:eastAsia="zh-CN"/>
        </w:rPr>
        <w:t>一</w:t>
      </w:r>
      <w:r>
        <w:rPr>
          <w:rFonts w:hint="eastAsia" w:eastAsia="宋体" w:asciiTheme="minorEastAsia" w:hAnsiTheme="minorEastAsia" w:cstheme="minorEastAsia"/>
          <w:i/>
          <w:iCs/>
          <w:color w:val="auto"/>
          <w:sz w:val="24"/>
          <w:szCs w:val="24"/>
          <w:highlight w:val="none"/>
          <w:u w:val="single"/>
          <w:lang w:eastAsia="zh-CN"/>
        </w:rPr>
        <w:t>年</w:t>
      </w:r>
      <w:r>
        <w:rPr>
          <w:rFonts w:hint="eastAsia" w:asciiTheme="minorEastAsia" w:hAnsiTheme="minorEastAsia" w:eastAsiaTheme="minorEastAsia" w:cstheme="minorEastAsia"/>
          <w:i/>
          <w:iCs/>
          <w:color w:val="auto"/>
          <w:sz w:val="24"/>
          <w:szCs w:val="24"/>
          <w:highlight w:val="none"/>
          <w:u w:val="single"/>
        </w:rPr>
        <w:t>内至少一个月依法缴纳税收及缴纳社会保障资金的证明材料。投标人依法享受缓缴、免缴税收、社会保障资金的提供证明材料）</w:t>
      </w:r>
    </w:p>
    <w:p w14:paraId="6CF8C6C0">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五、参加政府采购活动前 3 年内在经营活动中没有重大违法记录的书面声明</w:t>
      </w:r>
    </w:p>
    <w:p w14:paraId="501EFD56">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六、特定资格要求的证明文件（如果本项目设置特定资格要求，则需要提供）</w:t>
      </w:r>
    </w:p>
    <w:p w14:paraId="6BF2480C">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七、法人授权书</w:t>
      </w:r>
    </w:p>
    <w:p w14:paraId="6BB068F4">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八、投标函</w:t>
      </w:r>
    </w:p>
    <w:p w14:paraId="74318525">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val="en-US" w:eastAsia="zh-CN"/>
        </w:rPr>
        <w:t>九</w:t>
      </w:r>
      <w:r>
        <w:rPr>
          <w:rFonts w:hint="eastAsia" w:asciiTheme="minorEastAsia" w:hAnsiTheme="minorEastAsia" w:eastAsiaTheme="minorEastAsia" w:cstheme="minorEastAsia"/>
          <w:i/>
          <w:iCs/>
          <w:color w:val="auto"/>
          <w:sz w:val="24"/>
          <w:szCs w:val="24"/>
          <w:highlight w:val="none"/>
          <w:u w:val="single"/>
        </w:rPr>
        <w:t>、小微企业声明函</w:t>
      </w:r>
    </w:p>
    <w:p w14:paraId="78A4F91D">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lang w:eastAsia="zh-CN"/>
        </w:rPr>
      </w:pPr>
      <w:r>
        <w:rPr>
          <w:rFonts w:hint="eastAsia" w:asciiTheme="minorEastAsia" w:hAnsiTheme="minorEastAsia" w:eastAsiaTheme="minorEastAsia" w:cstheme="minorEastAsia"/>
          <w:i/>
          <w:iCs/>
          <w:color w:val="auto"/>
          <w:sz w:val="24"/>
          <w:szCs w:val="24"/>
          <w:highlight w:val="none"/>
          <w:u w:val="single"/>
        </w:rPr>
        <w:t>十、残疾人福利性单位声明函</w:t>
      </w:r>
      <w:r>
        <w:rPr>
          <w:rFonts w:hint="eastAsia" w:asciiTheme="minorEastAsia" w:hAnsiTheme="minorEastAsia" w:eastAsiaTheme="minorEastAsia" w:cstheme="minorEastAsia"/>
          <w:i/>
          <w:iCs/>
          <w:color w:val="auto"/>
          <w:sz w:val="24"/>
          <w:szCs w:val="24"/>
          <w:highlight w:val="none"/>
          <w:u w:val="single"/>
          <w:lang w:eastAsia="zh-CN"/>
        </w:rPr>
        <w:t>（</w:t>
      </w:r>
      <w:r>
        <w:rPr>
          <w:rFonts w:hint="eastAsia" w:asciiTheme="minorEastAsia" w:hAnsiTheme="minorEastAsia" w:eastAsiaTheme="minorEastAsia" w:cstheme="minorEastAsia"/>
          <w:i/>
          <w:iCs/>
          <w:color w:val="auto"/>
          <w:sz w:val="24"/>
          <w:szCs w:val="24"/>
          <w:highlight w:val="none"/>
          <w:u w:val="single"/>
          <w:lang w:val="en-US" w:eastAsia="zh-CN"/>
        </w:rPr>
        <w:t>如有</w:t>
      </w:r>
      <w:r>
        <w:rPr>
          <w:rFonts w:hint="eastAsia" w:asciiTheme="minorEastAsia" w:hAnsiTheme="minorEastAsia" w:eastAsiaTheme="minorEastAsia" w:cstheme="minorEastAsia"/>
          <w:i/>
          <w:iCs/>
          <w:color w:val="auto"/>
          <w:sz w:val="24"/>
          <w:szCs w:val="24"/>
          <w:highlight w:val="none"/>
          <w:u w:val="single"/>
          <w:lang w:eastAsia="zh-CN"/>
        </w:rPr>
        <w:t>）</w:t>
      </w:r>
    </w:p>
    <w:p w14:paraId="1A6FEBD0">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lang w:eastAsia="zh-CN"/>
        </w:rPr>
      </w:pPr>
      <w:r>
        <w:rPr>
          <w:rFonts w:hint="eastAsia" w:asciiTheme="minorEastAsia" w:hAnsiTheme="minorEastAsia" w:eastAsiaTheme="minorEastAsia" w:cstheme="minorEastAsia"/>
          <w:i/>
          <w:iCs/>
          <w:color w:val="auto"/>
          <w:sz w:val="24"/>
          <w:szCs w:val="24"/>
          <w:highlight w:val="none"/>
          <w:u w:val="single"/>
        </w:rPr>
        <w:t>十</w:t>
      </w:r>
      <w:r>
        <w:rPr>
          <w:rFonts w:hint="eastAsia" w:eastAsia="宋体" w:asciiTheme="minorEastAsia" w:hAnsiTheme="minorEastAsia" w:cstheme="minorEastAsia"/>
          <w:i/>
          <w:iCs/>
          <w:color w:val="auto"/>
          <w:sz w:val="24"/>
          <w:szCs w:val="24"/>
          <w:highlight w:val="none"/>
          <w:u w:val="single"/>
          <w:lang w:val="en-US" w:eastAsia="zh-CN"/>
        </w:rPr>
        <w:t>一</w:t>
      </w:r>
      <w:r>
        <w:rPr>
          <w:rFonts w:hint="eastAsia" w:asciiTheme="minorEastAsia" w:hAnsiTheme="minorEastAsia" w:eastAsiaTheme="minorEastAsia" w:cstheme="minorEastAsia"/>
          <w:i/>
          <w:iCs/>
          <w:color w:val="auto"/>
          <w:sz w:val="24"/>
          <w:szCs w:val="24"/>
          <w:highlight w:val="none"/>
          <w:u w:val="single"/>
        </w:rPr>
        <w:t>、投标分项报价表</w:t>
      </w:r>
    </w:p>
    <w:p w14:paraId="7CEF0002">
      <w:pPr>
        <w:pStyle w:val="36"/>
        <w:spacing w:beforeAutospacing="0" w:afterAutospacing="0" w:line="360" w:lineRule="auto"/>
        <w:ind w:firstLine="480"/>
        <w:jc w:val="both"/>
        <w:rPr>
          <w:rFonts w:hint="default" w:asciiTheme="minorEastAsia" w:hAnsiTheme="minorEastAsia" w:eastAsiaTheme="minorEastAsia" w:cstheme="minorEastAsia"/>
          <w:i/>
          <w:iCs/>
          <w:color w:val="auto"/>
          <w:sz w:val="24"/>
          <w:szCs w:val="24"/>
          <w:highlight w:val="none"/>
          <w:u w:val="single"/>
          <w:lang w:val="en-US" w:eastAsia="zh-CN"/>
        </w:rPr>
      </w:pPr>
      <w:r>
        <w:rPr>
          <w:rFonts w:hint="eastAsia" w:asciiTheme="minorEastAsia" w:hAnsiTheme="minorEastAsia" w:eastAsiaTheme="minorEastAsia" w:cstheme="minorEastAsia"/>
          <w:i/>
          <w:iCs/>
          <w:color w:val="auto"/>
          <w:sz w:val="24"/>
          <w:szCs w:val="24"/>
          <w:highlight w:val="none"/>
          <w:u w:val="single"/>
        </w:rPr>
        <w:t>十</w:t>
      </w:r>
      <w:r>
        <w:rPr>
          <w:rFonts w:hint="eastAsia" w:asciiTheme="minorEastAsia" w:hAnsiTheme="minorEastAsia" w:cstheme="minorEastAsia"/>
          <w:i/>
          <w:iCs/>
          <w:color w:val="auto"/>
          <w:sz w:val="24"/>
          <w:szCs w:val="24"/>
          <w:highlight w:val="none"/>
          <w:u w:val="single"/>
          <w:lang w:val="en-US" w:eastAsia="zh-CN"/>
        </w:rPr>
        <w:t>二</w:t>
      </w:r>
      <w:r>
        <w:rPr>
          <w:rFonts w:hint="eastAsia" w:asciiTheme="minorEastAsia" w:hAnsiTheme="minorEastAsia" w:eastAsiaTheme="minorEastAsia" w:cstheme="minorEastAsia"/>
          <w:i/>
          <w:iCs/>
          <w:color w:val="auto"/>
          <w:sz w:val="24"/>
          <w:szCs w:val="24"/>
          <w:highlight w:val="none"/>
          <w:u w:val="single"/>
        </w:rPr>
        <w:t>、技术要求响应及偏离表</w:t>
      </w:r>
    </w:p>
    <w:p w14:paraId="7FCB7ACA">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十</w:t>
      </w:r>
      <w:r>
        <w:rPr>
          <w:rFonts w:hint="eastAsia" w:asciiTheme="minorEastAsia" w:hAnsiTheme="minorEastAsia" w:cstheme="minorEastAsia"/>
          <w:i/>
          <w:iCs/>
          <w:color w:val="auto"/>
          <w:sz w:val="24"/>
          <w:szCs w:val="24"/>
          <w:highlight w:val="none"/>
          <w:u w:val="single"/>
          <w:lang w:val="en-US" w:eastAsia="zh-CN"/>
        </w:rPr>
        <w:t>三</w:t>
      </w:r>
      <w:r>
        <w:rPr>
          <w:rFonts w:hint="eastAsia" w:asciiTheme="minorEastAsia" w:hAnsiTheme="minorEastAsia" w:eastAsiaTheme="minorEastAsia" w:cstheme="minorEastAsia"/>
          <w:i/>
          <w:iCs/>
          <w:color w:val="auto"/>
          <w:sz w:val="24"/>
          <w:szCs w:val="24"/>
          <w:highlight w:val="none"/>
          <w:u w:val="single"/>
        </w:rPr>
        <w:t>、商务要求响应及偏离表</w:t>
      </w:r>
    </w:p>
    <w:p w14:paraId="523C3CA2">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十</w:t>
      </w:r>
      <w:r>
        <w:rPr>
          <w:rFonts w:hint="eastAsia" w:asciiTheme="minorEastAsia" w:hAnsiTheme="minorEastAsia" w:cstheme="minorEastAsia"/>
          <w:i/>
          <w:iCs/>
          <w:color w:val="auto"/>
          <w:sz w:val="24"/>
          <w:szCs w:val="24"/>
          <w:highlight w:val="none"/>
          <w:u w:val="single"/>
          <w:lang w:val="en-US" w:eastAsia="zh-CN"/>
        </w:rPr>
        <w:t>四</w:t>
      </w:r>
      <w:r>
        <w:rPr>
          <w:rFonts w:hint="eastAsia" w:asciiTheme="minorEastAsia" w:hAnsiTheme="minorEastAsia" w:eastAsiaTheme="minorEastAsia" w:cstheme="minorEastAsia"/>
          <w:i/>
          <w:iCs/>
          <w:color w:val="auto"/>
          <w:sz w:val="24"/>
          <w:szCs w:val="24"/>
          <w:highlight w:val="none"/>
          <w:u w:val="single"/>
        </w:rPr>
        <w:t>、开标一览表</w:t>
      </w:r>
    </w:p>
    <w:p w14:paraId="01BB8E72">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eastAsia="宋体" w:asciiTheme="minorEastAsia" w:hAnsiTheme="minorEastAsia" w:cstheme="minorEastAsia"/>
          <w:i/>
          <w:iCs/>
          <w:color w:val="auto"/>
          <w:sz w:val="24"/>
          <w:szCs w:val="24"/>
          <w:highlight w:val="none"/>
          <w:u w:val="single"/>
          <w:lang w:val="en-US" w:eastAsia="zh-CN"/>
        </w:rPr>
        <w:t>十五、</w:t>
      </w:r>
      <w:r>
        <w:rPr>
          <w:rFonts w:hint="eastAsia" w:asciiTheme="minorEastAsia" w:hAnsiTheme="minorEastAsia" w:eastAsiaTheme="minorEastAsia" w:cstheme="minorEastAsia"/>
          <w:i/>
          <w:iCs/>
          <w:color w:val="auto"/>
          <w:sz w:val="24"/>
          <w:szCs w:val="24"/>
          <w:highlight w:val="none"/>
          <w:u w:val="single"/>
        </w:rPr>
        <w:t>人员配备一览表</w:t>
      </w:r>
    </w:p>
    <w:p w14:paraId="6E2E0D3C">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十</w:t>
      </w:r>
      <w:r>
        <w:rPr>
          <w:rFonts w:hint="eastAsia" w:asciiTheme="minorEastAsia" w:hAnsiTheme="minorEastAsia" w:cstheme="minorEastAsia"/>
          <w:i/>
          <w:iCs/>
          <w:color w:val="auto"/>
          <w:sz w:val="24"/>
          <w:szCs w:val="24"/>
          <w:highlight w:val="none"/>
          <w:u w:val="single"/>
          <w:lang w:val="en-US" w:eastAsia="zh-CN"/>
        </w:rPr>
        <w:t>六</w:t>
      </w:r>
      <w:r>
        <w:rPr>
          <w:rFonts w:hint="eastAsia" w:asciiTheme="minorEastAsia" w:hAnsiTheme="minorEastAsia" w:eastAsiaTheme="minorEastAsia" w:cstheme="minorEastAsia"/>
          <w:i/>
          <w:iCs/>
          <w:color w:val="auto"/>
          <w:sz w:val="24"/>
          <w:szCs w:val="24"/>
          <w:highlight w:val="none"/>
          <w:u w:val="single"/>
        </w:rPr>
        <w:t>、</w:t>
      </w:r>
      <w:r>
        <w:rPr>
          <w:rFonts w:hint="eastAsia" w:asciiTheme="minorEastAsia" w:hAnsiTheme="minorEastAsia" w:eastAsiaTheme="minorEastAsia" w:cstheme="minorEastAsia"/>
          <w:i/>
          <w:iCs/>
          <w:color w:val="auto"/>
          <w:sz w:val="24"/>
          <w:szCs w:val="24"/>
          <w:highlight w:val="none"/>
          <w:u w:val="single"/>
          <w:lang w:val="en-US" w:eastAsia="zh-CN"/>
        </w:rPr>
        <w:t>服务</w:t>
      </w:r>
      <w:r>
        <w:rPr>
          <w:rFonts w:hint="eastAsia" w:asciiTheme="minorEastAsia" w:hAnsiTheme="minorEastAsia" w:eastAsiaTheme="minorEastAsia" w:cstheme="minorEastAsia"/>
          <w:i/>
          <w:iCs/>
          <w:color w:val="auto"/>
          <w:sz w:val="24"/>
          <w:szCs w:val="24"/>
          <w:highlight w:val="none"/>
          <w:u w:val="single"/>
        </w:rPr>
        <w:t>方案</w:t>
      </w:r>
    </w:p>
    <w:p w14:paraId="3CE51FCB">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十</w:t>
      </w:r>
      <w:r>
        <w:rPr>
          <w:rFonts w:hint="eastAsia" w:asciiTheme="minorEastAsia" w:hAnsiTheme="minorEastAsia" w:cstheme="minorEastAsia"/>
          <w:i/>
          <w:iCs/>
          <w:color w:val="auto"/>
          <w:sz w:val="24"/>
          <w:szCs w:val="24"/>
          <w:highlight w:val="none"/>
          <w:u w:val="single"/>
          <w:lang w:val="en-US" w:eastAsia="zh-CN"/>
        </w:rPr>
        <w:t>七</w:t>
      </w:r>
      <w:r>
        <w:rPr>
          <w:rFonts w:hint="eastAsia" w:asciiTheme="minorEastAsia" w:hAnsiTheme="minorEastAsia" w:eastAsiaTheme="minorEastAsia" w:cstheme="minorEastAsia"/>
          <w:i/>
          <w:iCs/>
          <w:color w:val="auto"/>
          <w:sz w:val="24"/>
          <w:szCs w:val="24"/>
          <w:highlight w:val="none"/>
          <w:u w:val="single"/>
        </w:rPr>
        <w:t>、盐城市政府采购事前信用承诺书</w:t>
      </w:r>
    </w:p>
    <w:p w14:paraId="63E96069">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 招标文件中规定要求提供的证明材料和投标人认为需要提供的其他材料。</w:t>
      </w:r>
    </w:p>
    <w:p w14:paraId="060EB54B">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235BBA69">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464B8C3E">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89D4A66">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3E2AA874">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348393C6">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2B07D4B">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74FA73A8">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5EFEBEE4">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4B6136DC">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2E78D9D5">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366A107D">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72D1AF07">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2D749719">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557F2AB9">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44FB3548">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0125B48F">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705A9098">
      <w:pPr>
        <w:pStyle w:val="36"/>
        <w:spacing w:beforeAutospacing="0" w:afterAutospacing="0" w:line="0" w:lineRule="atLeast"/>
        <w:jc w:val="both"/>
        <w:rPr>
          <w:rFonts w:hint="eastAsia" w:asciiTheme="minorEastAsia" w:hAnsiTheme="minorEastAsia" w:eastAsiaTheme="minorEastAsia" w:cstheme="minorEastAsia"/>
          <w:color w:val="auto"/>
          <w:highlight w:val="none"/>
        </w:rPr>
      </w:pPr>
    </w:p>
    <w:p w14:paraId="6E70B1F3">
      <w:pPr>
        <w:pStyle w:val="36"/>
        <w:spacing w:beforeAutospacing="0" w:afterAutospacing="0"/>
        <w:jc w:val="both"/>
        <w:rPr>
          <w:rFonts w:hint="eastAsia" w:asciiTheme="minorEastAsia" w:hAnsiTheme="minorEastAsia" w:eastAsiaTheme="minorEastAsia" w:cstheme="minorEastAsia"/>
          <w:i w:val="0"/>
          <w:iCs/>
          <w:color w:val="auto"/>
          <w:highlight w:val="none"/>
          <w:u w:val="none"/>
        </w:rPr>
      </w:pPr>
      <w:r>
        <w:rPr>
          <w:rFonts w:hint="eastAsia" w:asciiTheme="minorEastAsia" w:hAnsiTheme="minorEastAsia" w:eastAsiaTheme="minorEastAsia" w:cstheme="minorEastAsia"/>
          <w:i/>
          <w:iCs w:val="0"/>
          <w:color w:val="auto"/>
          <w:sz w:val="32"/>
          <w:szCs w:val="32"/>
          <w:highlight w:val="none"/>
          <w:u w:val="none"/>
        </w:rPr>
        <w:t>一、法人或者其他组织的营业执照等证明文件，自然人的身份证明</w:t>
      </w:r>
    </w:p>
    <w:p w14:paraId="05FB3FE0">
      <w:pPr>
        <w:pStyle w:val="36"/>
        <w:spacing w:beforeAutospacing="0" w:afterAutospacing="0" w:line="0" w:lineRule="atLeast"/>
        <w:ind w:firstLine="480"/>
        <w:jc w:val="both"/>
        <w:rPr>
          <w:rFonts w:hint="eastAsia" w:asciiTheme="minorEastAsia" w:hAnsiTheme="minorEastAsia" w:eastAsiaTheme="minorEastAsia" w:cstheme="minorEastAsia"/>
          <w:i w:val="0"/>
          <w:iCs/>
          <w:color w:val="auto"/>
          <w:highlight w:val="none"/>
          <w:u w:val="none"/>
        </w:rPr>
      </w:pPr>
      <w:r>
        <w:rPr>
          <w:rFonts w:hint="eastAsia" w:asciiTheme="minorEastAsia" w:hAnsiTheme="minorEastAsia" w:eastAsiaTheme="minorEastAsia" w:cstheme="minorEastAsia"/>
          <w:i w:val="0"/>
          <w:iCs/>
          <w:color w:val="auto"/>
          <w:highlight w:val="none"/>
          <w:u w:val="none"/>
        </w:rPr>
        <w:t> </w:t>
      </w:r>
    </w:p>
    <w:p w14:paraId="3BA3CC4D">
      <w:pPr>
        <w:pStyle w:val="36"/>
        <w:spacing w:beforeAutospacing="0" w:afterAutospacing="0" w:line="0" w:lineRule="atLeast"/>
        <w:ind w:firstLine="480"/>
        <w:jc w:val="both"/>
        <w:rPr>
          <w:rFonts w:hint="eastAsia" w:asciiTheme="minorEastAsia" w:hAnsiTheme="minorEastAsia" w:eastAsiaTheme="minorEastAsia" w:cstheme="minorEastAsia"/>
          <w:i w:val="0"/>
          <w:iCs/>
          <w:color w:val="auto"/>
          <w:highlight w:val="none"/>
          <w:u w:val="none"/>
        </w:rPr>
      </w:pPr>
    </w:p>
    <w:p w14:paraId="519754F9">
      <w:pPr>
        <w:pStyle w:val="36"/>
        <w:spacing w:beforeAutospacing="0" w:afterAutospacing="0"/>
        <w:jc w:val="both"/>
        <w:rPr>
          <w:rFonts w:hint="eastAsia" w:asciiTheme="minorEastAsia" w:hAnsiTheme="minorEastAsia" w:eastAsiaTheme="minorEastAsia" w:cstheme="minorEastAsia"/>
          <w:i/>
          <w:iCs w:val="0"/>
          <w:color w:val="auto"/>
          <w:highlight w:val="none"/>
          <w:u w:val="none"/>
        </w:rPr>
      </w:pPr>
      <w:r>
        <w:rPr>
          <w:rFonts w:hint="eastAsia" w:asciiTheme="minorEastAsia" w:hAnsiTheme="minorEastAsia" w:eastAsiaTheme="minorEastAsia" w:cstheme="minorEastAsia"/>
          <w:i/>
          <w:iCs w:val="0"/>
          <w:color w:val="auto"/>
          <w:sz w:val="32"/>
          <w:szCs w:val="32"/>
          <w:highlight w:val="none"/>
          <w:u w:val="none"/>
        </w:rPr>
        <w:t>二、上</w:t>
      </w:r>
      <w:r>
        <w:rPr>
          <w:rFonts w:hint="eastAsia" w:eastAsia="宋体" w:asciiTheme="minorEastAsia" w:hAnsiTheme="minorEastAsia" w:cstheme="minorEastAsia"/>
          <w:i/>
          <w:iCs w:val="0"/>
          <w:color w:val="auto"/>
          <w:sz w:val="32"/>
          <w:szCs w:val="32"/>
          <w:highlight w:val="none"/>
          <w:u w:val="none"/>
          <w:lang w:val="en-US" w:eastAsia="zh-CN"/>
        </w:rPr>
        <w:t>一</w:t>
      </w:r>
      <w:r>
        <w:rPr>
          <w:rFonts w:hint="eastAsia" w:eastAsia="宋体" w:asciiTheme="minorEastAsia" w:hAnsiTheme="minorEastAsia" w:cstheme="minorEastAsia"/>
          <w:i/>
          <w:iCs w:val="0"/>
          <w:color w:val="auto"/>
          <w:sz w:val="32"/>
          <w:szCs w:val="32"/>
          <w:highlight w:val="none"/>
          <w:u w:val="none"/>
          <w:lang w:eastAsia="zh-CN"/>
        </w:rPr>
        <w:t>年</w:t>
      </w:r>
      <w:r>
        <w:rPr>
          <w:rFonts w:hint="eastAsia" w:asciiTheme="minorEastAsia" w:hAnsiTheme="minorEastAsia" w:eastAsiaTheme="minorEastAsia" w:cstheme="minorEastAsia"/>
          <w:i/>
          <w:iCs w:val="0"/>
          <w:color w:val="auto"/>
          <w:sz w:val="32"/>
          <w:szCs w:val="32"/>
          <w:highlight w:val="none"/>
          <w:u w:val="none"/>
        </w:rPr>
        <w:t>度的财务状况报表</w:t>
      </w:r>
    </w:p>
    <w:p w14:paraId="24AF57B9">
      <w:pPr>
        <w:pageBreakBefore w:val="0"/>
        <w:pBdr>
          <w:top w:val="none" w:color="000000" w:sz="0" w:space="0"/>
          <w:left w:val="none" w:color="000000" w:sz="0" w:space="0"/>
          <w:bottom w:val="none" w:color="000000" w:sz="0" w:space="0"/>
          <w:right w:val="none" w:color="000000" w:sz="0" w:space="0"/>
        </w:pBdr>
        <w:spacing w:before="0" w:after="0"/>
        <w:ind w:left="0" w:right="0" w:firstLine="0"/>
        <w:rPr>
          <w:rFonts w:hint="eastAsia" w:asciiTheme="minorEastAsia" w:hAnsiTheme="minorEastAsia" w:eastAsiaTheme="minorEastAsia" w:cstheme="minorEastAsia"/>
          <w:i w:val="0"/>
          <w:iCs/>
          <w:color w:val="auto"/>
          <w:sz w:val="24"/>
          <w:highlight w:val="none"/>
          <w:u w:val="none"/>
        </w:rPr>
      </w:pPr>
      <w:r>
        <w:rPr>
          <w:rFonts w:hint="eastAsia" w:asciiTheme="minorEastAsia" w:hAnsiTheme="minorEastAsia" w:eastAsiaTheme="minorEastAsia" w:cstheme="minorEastAsia"/>
          <w:i w:val="0"/>
          <w:iCs/>
          <w:color w:val="auto"/>
          <w:sz w:val="24"/>
          <w:highlight w:val="none"/>
          <w:u w:val="none"/>
        </w:rPr>
        <w:t>（至少提供资产负债表、利润表、现金流量表，投标人成立不满</w:t>
      </w:r>
      <w:r>
        <w:rPr>
          <w:rFonts w:hint="eastAsia" w:eastAsia="宋体" w:asciiTheme="minorEastAsia" w:hAnsiTheme="minorEastAsia" w:cstheme="minorEastAsia"/>
          <w:i w:val="0"/>
          <w:iCs/>
          <w:color w:val="auto"/>
          <w:sz w:val="24"/>
          <w:highlight w:val="none"/>
          <w:u w:val="none"/>
          <w:lang w:val="en-US" w:eastAsia="zh-CN"/>
        </w:rPr>
        <w:t>一</w:t>
      </w:r>
      <w:r>
        <w:rPr>
          <w:rFonts w:hint="eastAsia" w:eastAsia="宋体" w:asciiTheme="minorEastAsia" w:hAnsiTheme="minorEastAsia" w:cstheme="minorEastAsia"/>
          <w:i w:val="0"/>
          <w:iCs/>
          <w:color w:val="auto"/>
          <w:sz w:val="24"/>
          <w:highlight w:val="none"/>
          <w:u w:val="none"/>
          <w:lang w:eastAsia="zh-CN"/>
        </w:rPr>
        <w:t>年</w:t>
      </w:r>
      <w:r>
        <w:rPr>
          <w:rFonts w:hint="eastAsia" w:asciiTheme="minorEastAsia" w:hAnsiTheme="minorEastAsia" w:eastAsiaTheme="minorEastAsia" w:cstheme="minorEastAsia"/>
          <w:i w:val="0"/>
          <w:iCs/>
          <w:color w:val="auto"/>
          <w:sz w:val="24"/>
          <w:highlight w:val="none"/>
          <w:u w:val="none"/>
        </w:rPr>
        <w:t>无需提供）</w:t>
      </w:r>
    </w:p>
    <w:p w14:paraId="6E9F016C">
      <w:pPr>
        <w:pStyle w:val="36"/>
        <w:spacing w:beforeAutospacing="0" w:afterAutospacing="0"/>
        <w:jc w:val="both"/>
        <w:rPr>
          <w:rFonts w:hint="eastAsia" w:asciiTheme="minorEastAsia" w:hAnsiTheme="minorEastAsia" w:eastAsiaTheme="minorEastAsia" w:cstheme="minorEastAsia"/>
          <w:i w:val="0"/>
          <w:iCs/>
          <w:color w:val="auto"/>
          <w:highlight w:val="none"/>
          <w:u w:val="none"/>
        </w:rPr>
      </w:pPr>
      <w:r>
        <w:rPr>
          <w:rFonts w:hint="eastAsia" w:asciiTheme="minorEastAsia" w:hAnsiTheme="minorEastAsia" w:eastAsiaTheme="minorEastAsia" w:cstheme="minorEastAsia"/>
          <w:i w:val="0"/>
          <w:iCs/>
          <w:color w:val="auto"/>
          <w:highlight w:val="none"/>
          <w:u w:val="none"/>
        </w:rPr>
        <w:t> </w:t>
      </w:r>
    </w:p>
    <w:p w14:paraId="18122871">
      <w:pPr>
        <w:pStyle w:val="36"/>
        <w:spacing w:beforeAutospacing="0" w:afterAutospacing="0"/>
        <w:jc w:val="both"/>
        <w:rPr>
          <w:rFonts w:hint="eastAsia" w:asciiTheme="minorEastAsia" w:hAnsiTheme="minorEastAsia" w:eastAsiaTheme="minorEastAsia" w:cstheme="minorEastAsia"/>
          <w:i w:val="0"/>
          <w:iCs/>
          <w:color w:val="auto"/>
          <w:highlight w:val="none"/>
          <w:u w:val="none"/>
        </w:rPr>
      </w:pPr>
    </w:p>
    <w:p w14:paraId="366D0608">
      <w:pPr>
        <w:pStyle w:val="36"/>
        <w:spacing w:beforeAutospacing="0" w:afterAutospacing="0"/>
        <w:jc w:val="both"/>
        <w:rPr>
          <w:rFonts w:hint="eastAsia" w:asciiTheme="minorEastAsia" w:hAnsiTheme="minorEastAsia" w:eastAsiaTheme="minorEastAsia" w:cstheme="minorEastAsia"/>
          <w:i w:val="0"/>
          <w:iCs/>
          <w:color w:val="auto"/>
          <w:highlight w:val="none"/>
          <w:u w:val="none"/>
        </w:rPr>
      </w:pPr>
      <w:r>
        <w:rPr>
          <w:rFonts w:hint="eastAsia" w:asciiTheme="minorEastAsia" w:hAnsiTheme="minorEastAsia" w:eastAsiaTheme="minorEastAsia" w:cstheme="minorEastAsia"/>
          <w:i w:val="0"/>
          <w:iCs/>
          <w:color w:val="auto"/>
          <w:highlight w:val="none"/>
          <w:u w:val="none"/>
        </w:rPr>
        <w:t> </w:t>
      </w:r>
    </w:p>
    <w:p w14:paraId="55BE628C">
      <w:pPr>
        <w:pStyle w:val="36"/>
        <w:spacing w:beforeAutospacing="0" w:afterAutospacing="0"/>
        <w:jc w:val="both"/>
        <w:rPr>
          <w:rFonts w:hint="eastAsia" w:asciiTheme="minorEastAsia" w:hAnsiTheme="minorEastAsia" w:eastAsiaTheme="minorEastAsia" w:cstheme="minorEastAsia"/>
          <w:i/>
          <w:iCs w:val="0"/>
          <w:color w:val="auto"/>
          <w:highlight w:val="none"/>
          <w:u w:val="none"/>
        </w:rPr>
      </w:pPr>
      <w:r>
        <w:rPr>
          <w:rFonts w:hint="eastAsia" w:asciiTheme="minorEastAsia" w:hAnsiTheme="minorEastAsia" w:eastAsiaTheme="minorEastAsia" w:cstheme="minorEastAsia"/>
          <w:i/>
          <w:iCs w:val="0"/>
          <w:color w:val="auto"/>
          <w:sz w:val="32"/>
          <w:szCs w:val="32"/>
          <w:highlight w:val="none"/>
          <w:u w:val="none"/>
          <w:lang w:val="en-US" w:eastAsia="zh-CN"/>
        </w:rPr>
        <w:t>三</w:t>
      </w:r>
      <w:r>
        <w:rPr>
          <w:rFonts w:hint="eastAsia" w:asciiTheme="minorEastAsia" w:hAnsiTheme="minorEastAsia" w:eastAsiaTheme="minorEastAsia" w:cstheme="minorEastAsia"/>
          <w:i/>
          <w:iCs w:val="0"/>
          <w:color w:val="auto"/>
          <w:sz w:val="32"/>
          <w:szCs w:val="32"/>
          <w:highlight w:val="none"/>
          <w:u w:val="none"/>
        </w:rPr>
        <w:t>、具备履行合同所必需的设备和专业技术能力的书面声明</w:t>
      </w:r>
    </w:p>
    <w:p w14:paraId="63AFBD17">
      <w:pPr>
        <w:pageBreakBefore w:val="0"/>
        <w:pBdr>
          <w:top w:val="none" w:color="000000" w:sz="0" w:space="0"/>
          <w:left w:val="none" w:color="000000" w:sz="0" w:space="0"/>
          <w:bottom w:val="none" w:color="000000" w:sz="0" w:space="0"/>
          <w:right w:val="none" w:color="000000" w:sz="0" w:space="0"/>
        </w:pBdr>
        <w:spacing w:before="0" w:after="0" w:line="499" w:lineRule="atLeast"/>
        <w:ind w:left="0" w:right="0" w:firstLine="492"/>
        <w:jc w:val="both"/>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我公司郑重声明：我公司具备履行本项采购合同所必需的设备和专业技术能力，为履行本项采购合同我公司具备如下主要设备和主要专业技术能力：</w:t>
      </w:r>
    </w:p>
    <w:p w14:paraId="30D74F39">
      <w:pPr>
        <w:pageBreakBefore w:val="0"/>
        <w:pBdr>
          <w:top w:val="none" w:color="000000" w:sz="0" w:space="0"/>
          <w:left w:val="none" w:color="000000" w:sz="0" w:space="0"/>
          <w:bottom w:val="none" w:color="000000" w:sz="0" w:space="0"/>
          <w:right w:val="none" w:color="000000" w:sz="0" w:space="0"/>
        </w:pBdr>
        <w:spacing w:before="0" w:after="0" w:line="499" w:lineRule="atLeast"/>
        <w:ind w:left="0" w:right="0" w:firstLine="492"/>
        <w:jc w:val="both"/>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主要设备有：</w:t>
      </w:r>
      <w:r>
        <w:rPr>
          <w:rFonts w:hint="eastAsia" w:ascii="宋体" w:hAnsi="宋体" w:eastAsia="宋体" w:cs="宋体"/>
          <w:i w:val="0"/>
          <w:iCs/>
          <w:color w:val="auto"/>
          <w:sz w:val="24"/>
          <w:szCs w:val="24"/>
          <w:highlight w:val="none"/>
          <w:u w:val="single"/>
        </w:rPr>
        <w:t>             </w:t>
      </w:r>
      <w:r>
        <w:rPr>
          <w:rFonts w:hint="eastAsia" w:ascii="宋体" w:hAnsi="宋体" w:eastAsia="宋体" w:cs="宋体"/>
          <w:i w:val="0"/>
          <w:iCs/>
          <w:color w:val="auto"/>
          <w:sz w:val="24"/>
          <w:szCs w:val="24"/>
          <w:highlight w:val="none"/>
          <w:u w:val="none"/>
        </w:rPr>
        <w:t>。</w:t>
      </w:r>
    </w:p>
    <w:p w14:paraId="38553052">
      <w:pPr>
        <w:pageBreakBefore w:val="0"/>
        <w:pBdr>
          <w:top w:val="none" w:color="000000" w:sz="0" w:space="0"/>
          <w:left w:val="none" w:color="000000" w:sz="0" w:space="0"/>
          <w:bottom w:val="none" w:color="000000" w:sz="0" w:space="0"/>
          <w:right w:val="none" w:color="000000" w:sz="0" w:space="0"/>
        </w:pBdr>
        <w:spacing w:before="0" w:after="0" w:line="499" w:lineRule="atLeast"/>
        <w:ind w:left="0" w:right="0" w:firstLine="492"/>
        <w:jc w:val="both"/>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主要专业技术能力有：</w:t>
      </w:r>
      <w:r>
        <w:rPr>
          <w:rFonts w:hint="eastAsia" w:ascii="宋体" w:hAnsi="宋体" w:eastAsia="宋体" w:cs="宋体"/>
          <w:i w:val="0"/>
          <w:iCs/>
          <w:color w:val="auto"/>
          <w:sz w:val="24"/>
          <w:szCs w:val="24"/>
          <w:highlight w:val="none"/>
          <w:u w:val="single"/>
        </w:rPr>
        <w:t>  </w:t>
      </w:r>
      <w:r>
        <w:rPr>
          <w:rFonts w:hint="eastAsia" w:ascii="宋体" w:hAnsi="宋体" w:eastAsia="宋体" w:cs="宋体"/>
          <w:i w:val="0"/>
          <w:iCs/>
          <w:color w:val="auto"/>
          <w:sz w:val="24"/>
          <w:szCs w:val="24"/>
          <w:highlight w:val="none"/>
          <w:u w:val="single"/>
          <w:lang w:val="en-US" w:eastAsia="zh-CN"/>
        </w:rPr>
        <w:t xml:space="preserve">        </w:t>
      </w:r>
      <w:r>
        <w:rPr>
          <w:rFonts w:hint="eastAsia" w:ascii="宋体" w:hAnsi="宋体" w:eastAsia="宋体" w:cs="宋体"/>
          <w:i w:val="0"/>
          <w:iCs/>
          <w:color w:val="auto"/>
          <w:sz w:val="24"/>
          <w:szCs w:val="24"/>
          <w:highlight w:val="none"/>
          <w:u w:val="single"/>
        </w:rPr>
        <w:t>   </w:t>
      </w:r>
      <w:r>
        <w:rPr>
          <w:rFonts w:hint="eastAsia" w:ascii="宋体" w:hAnsi="宋体" w:eastAsia="宋体" w:cs="宋体"/>
          <w:i w:val="0"/>
          <w:iCs/>
          <w:color w:val="auto"/>
          <w:sz w:val="24"/>
          <w:szCs w:val="24"/>
          <w:highlight w:val="none"/>
          <w:u w:val="none"/>
        </w:rPr>
        <w:t>。</w:t>
      </w:r>
    </w:p>
    <w:p w14:paraId="4EC1D788">
      <w:pPr>
        <w:pageBreakBefore w:val="0"/>
        <w:pBdr>
          <w:top w:val="none" w:color="000000" w:sz="0" w:space="0"/>
          <w:left w:val="none" w:color="000000" w:sz="0" w:space="0"/>
          <w:bottom w:val="none" w:color="000000" w:sz="0" w:space="0"/>
          <w:right w:val="none" w:color="000000" w:sz="0" w:space="0"/>
        </w:pBdr>
        <w:spacing w:before="0" w:after="0" w:line="499" w:lineRule="atLeast"/>
        <w:ind w:left="0" w:right="0" w:firstLine="492"/>
        <w:jc w:val="both"/>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w:t>
      </w:r>
    </w:p>
    <w:p w14:paraId="71829DCC">
      <w:pPr>
        <w:pStyle w:val="47"/>
        <w:rPr>
          <w:rFonts w:hint="eastAsia"/>
          <w:i w:val="0"/>
          <w:iCs/>
          <w:color w:val="auto"/>
          <w:highlight w:val="none"/>
          <w:u w:val="none"/>
        </w:rPr>
      </w:pPr>
    </w:p>
    <w:p w14:paraId="1282DC7F">
      <w:pPr>
        <w:pStyle w:val="36"/>
        <w:spacing w:beforeAutospacing="0" w:afterAutospacing="0"/>
        <w:jc w:val="both"/>
        <w:rPr>
          <w:rFonts w:hint="eastAsia" w:asciiTheme="minorEastAsia" w:hAnsiTheme="minorEastAsia" w:eastAsiaTheme="minorEastAsia" w:cstheme="minorEastAsia"/>
          <w:i/>
          <w:iCs w:val="0"/>
          <w:color w:val="auto"/>
          <w:highlight w:val="none"/>
          <w:u w:val="none"/>
        </w:rPr>
      </w:pPr>
      <w:r>
        <w:rPr>
          <w:rFonts w:hint="eastAsia" w:asciiTheme="minorEastAsia" w:hAnsiTheme="minorEastAsia" w:eastAsiaTheme="minorEastAsia" w:cstheme="minorEastAsia"/>
          <w:i/>
          <w:iCs w:val="0"/>
          <w:color w:val="auto"/>
          <w:sz w:val="32"/>
          <w:szCs w:val="32"/>
          <w:highlight w:val="none"/>
          <w:u w:val="none"/>
          <w:lang w:val="en-US" w:eastAsia="zh-CN"/>
        </w:rPr>
        <w:t>四</w:t>
      </w:r>
      <w:r>
        <w:rPr>
          <w:rFonts w:hint="eastAsia" w:asciiTheme="minorEastAsia" w:hAnsiTheme="minorEastAsia" w:eastAsiaTheme="minorEastAsia" w:cstheme="minorEastAsia"/>
          <w:i/>
          <w:iCs w:val="0"/>
          <w:color w:val="auto"/>
          <w:sz w:val="32"/>
          <w:szCs w:val="32"/>
          <w:highlight w:val="none"/>
          <w:u w:val="none"/>
        </w:rPr>
        <w:t>、依法缴纳税收和社会保障资金的相关材料</w:t>
      </w:r>
    </w:p>
    <w:p w14:paraId="4722D36F">
      <w:pPr>
        <w:pStyle w:val="36"/>
        <w:spacing w:beforeAutospacing="0" w:afterAutospacing="0"/>
        <w:ind w:firstLine="480"/>
        <w:jc w:val="both"/>
        <w:rPr>
          <w:rFonts w:hint="eastAsia" w:asciiTheme="minorEastAsia" w:hAnsiTheme="minorEastAsia" w:eastAsiaTheme="minorEastAsia" w:cstheme="minorEastAsia"/>
          <w:i w:val="0"/>
          <w:iCs/>
          <w:color w:val="auto"/>
          <w:highlight w:val="none"/>
          <w:u w:val="none"/>
        </w:rPr>
      </w:pPr>
      <w:bookmarkStart w:id="194" w:name="_Toc120614284"/>
      <w:r>
        <w:rPr>
          <w:rFonts w:hint="eastAsia" w:asciiTheme="minorEastAsia" w:hAnsiTheme="minorEastAsia" w:eastAsiaTheme="minorEastAsia" w:cstheme="minorEastAsia"/>
          <w:i w:val="0"/>
          <w:iCs/>
          <w:color w:val="auto"/>
          <w:highlight w:val="none"/>
          <w:u w:val="none"/>
        </w:rPr>
        <w:t>提供提交投标文件截止时间前</w:t>
      </w:r>
      <w:r>
        <w:rPr>
          <w:rFonts w:hint="eastAsia" w:eastAsia="宋体" w:asciiTheme="minorEastAsia" w:hAnsiTheme="minorEastAsia" w:cstheme="minorEastAsia"/>
          <w:i w:val="0"/>
          <w:iCs/>
          <w:color w:val="auto"/>
          <w:highlight w:val="none"/>
          <w:u w:val="none"/>
          <w:lang w:val="en-US" w:eastAsia="zh-CN"/>
        </w:rPr>
        <w:t>一</w:t>
      </w:r>
      <w:r>
        <w:rPr>
          <w:rFonts w:hint="eastAsia" w:eastAsia="宋体" w:asciiTheme="minorEastAsia" w:hAnsiTheme="minorEastAsia" w:cstheme="minorEastAsia"/>
          <w:i w:val="0"/>
          <w:iCs/>
          <w:color w:val="auto"/>
          <w:highlight w:val="none"/>
          <w:u w:val="none"/>
          <w:lang w:eastAsia="zh-CN"/>
        </w:rPr>
        <w:t>年</w:t>
      </w:r>
      <w:r>
        <w:rPr>
          <w:rFonts w:hint="eastAsia" w:asciiTheme="minorEastAsia" w:hAnsiTheme="minorEastAsia" w:eastAsiaTheme="minorEastAsia" w:cstheme="minorEastAsia"/>
          <w:i w:val="0"/>
          <w:iCs/>
          <w:color w:val="auto"/>
          <w:highlight w:val="none"/>
          <w:u w:val="none"/>
        </w:rPr>
        <w:t>内至少一个月依法缴纳税收及缴纳社会保障资金的证明材料。投标人依法享受缓缴、免缴税收、社会保障资金的提供证明材料。</w:t>
      </w:r>
      <w:bookmarkEnd w:id="194"/>
    </w:p>
    <w:p w14:paraId="6AB7B8CE">
      <w:pPr>
        <w:pStyle w:val="36"/>
        <w:spacing w:beforeAutospacing="0" w:afterAutospacing="0"/>
        <w:ind w:firstLine="480"/>
        <w:jc w:val="both"/>
        <w:rPr>
          <w:rFonts w:hint="eastAsia" w:asciiTheme="minorEastAsia" w:hAnsiTheme="minorEastAsia" w:eastAsiaTheme="minorEastAsia" w:cstheme="minorEastAsia"/>
          <w:i w:val="0"/>
          <w:iCs/>
          <w:color w:val="auto"/>
          <w:highlight w:val="none"/>
          <w:u w:val="none"/>
        </w:rPr>
      </w:pPr>
    </w:p>
    <w:p w14:paraId="0EC80CC2">
      <w:pPr>
        <w:pStyle w:val="36"/>
        <w:spacing w:beforeAutospacing="0" w:afterAutospacing="0"/>
        <w:ind w:firstLine="480"/>
        <w:jc w:val="both"/>
        <w:rPr>
          <w:rFonts w:hint="eastAsia" w:asciiTheme="minorEastAsia" w:hAnsiTheme="minorEastAsia" w:eastAsiaTheme="minorEastAsia" w:cstheme="minorEastAsia"/>
          <w:i w:val="0"/>
          <w:iCs/>
          <w:color w:val="auto"/>
          <w:highlight w:val="none"/>
          <w:u w:val="none"/>
        </w:rPr>
      </w:pPr>
    </w:p>
    <w:p w14:paraId="3796F4C6">
      <w:pPr>
        <w:pStyle w:val="36"/>
        <w:numPr>
          <w:ilvl w:val="0"/>
          <w:numId w:val="0"/>
        </w:numPr>
        <w:spacing w:beforeAutospacing="0" w:afterAutospacing="0"/>
        <w:jc w:val="both"/>
        <w:rPr>
          <w:rFonts w:hint="eastAsia" w:asciiTheme="minorEastAsia" w:hAnsiTheme="minorEastAsia" w:eastAsiaTheme="minorEastAsia" w:cstheme="minorEastAsia"/>
          <w:i/>
          <w:iCs w:val="0"/>
          <w:color w:val="auto"/>
          <w:sz w:val="32"/>
          <w:szCs w:val="32"/>
          <w:highlight w:val="none"/>
          <w:u w:val="none"/>
        </w:rPr>
      </w:pPr>
      <w:r>
        <w:rPr>
          <w:rFonts w:hint="eastAsia" w:asciiTheme="minorEastAsia" w:hAnsiTheme="minorEastAsia" w:cstheme="minorEastAsia"/>
          <w:i/>
          <w:iCs w:val="0"/>
          <w:color w:val="auto"/>
          <w:sz w:val="32"/>
          <w:szCs w:val="32"/>
          <w:highlight w:val="none"/>
          <w:u w:val="none"/>
          <w:lang w:val="en-US" w:eastAsia="zh-CN"/>
        </w:rPr>
        <w:t>五、</w:t>
      </w:r>
      <w:r>
        <w:rPr>
          <w:rFonts w:hint="eastAsia" w:asciiTheme="minorEastAsia" w:hAnsiTheme="minorEastAsia" w:eastAsiaTheme="minorEastAsia" w:cstheme="minorEastAsia"/>
          <w:i/>
          <w:iCs w:val="0"/>
          <w:color w:val="auto"/>
          <w:sz w:val="32"/>
          <w:szCs w:val="32"/>
          <w:highlight w:val="none"/>
          <w:u w:val="none"/>
        </w:rPr>
        <w:t>参加政府采购活动前 3 年内在经营活动中没有重大违法记录的书面声明</w:t>
      </w:r>
    </w:p>
    <w:p w14:paraId="583A2FAF">
      <w:pPr>
        <w:pStyle w:val="36"/>
        <w:numPr>
          <w:ilvl w:val="0"/>
          <w:numId w:val="0"/>
        </w:numPr>
        <w:spacing w:beforeAutospacing="0" w:afterAutospacing="0"/>
        <w:jc w:val="center"/>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声  明</w:t>
      </w:r>
    </w:p>
    <w:p w14:paraId="0EBA995A">
      <w:pPr>
        <w:pageBreakBefore w:val="0"/>
        <w:pBdr>
          <w:top w:val="none" w:color="000000" w:sz="0" w:space="0"/>
          <w:left w:val="none" w:color="000000" w:sz="0" w:space="0"/>
          <w:bottom w:val="none" w:color="000000" w:sz="0" w:space="0"/>
          <w:right w:val="none" w:color="000000" w:sz="0" w:space="0"/>
        </w:pBdr>
        <w:spacing w:before="0" w:after="0" w:line="499" w:lineRule="atLeast"/>
        <w:ind w:left="0" w:right="0" w:firstLine="492"/>
        <w:jc w:val="both"/>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我单位郑重声明：参加本次政府采购活动前 3 年内，我单位在经营活动中没有因违法经营受到刑事处罚或者责令停产停业、吊销许可证或者执照、较大数额罚款等行政处罚。</w:t>
      </w:r>
    </w:p>
    <w:p w14:paraId="53994EA7">
      <w:pPr>
        <w:pageBreakBefore w:val="0"/>
        <w:pBdr>
          <w:top w:val="none" w:color="000000" w:sz="0" w:space="0"/>
          <w:left w:val="none" w:color="000000" w:sz="0" w:space="0"/>
          <w:bottom w:val="none" w:color="000000" w:sz="0" w:space="0"/>
          <w:right w:val="none" w:color="000000" w:sz="0" w:space="0"/>
        </w:pBdr>
        <w:spacing w:before="0" w:after="0" w:line="499" w:lineRule="atLeast"/>
        <w:ind w:left="0" w:right="0" w:firstLine="492"/>
        <w:jc w:val="both"/>
        <w:rPr>
          <w:rFonts w:hint="eastAsia" w:ascii="宋体" w:hAnsi="宋体" w:eastAsia="宋体" w:cs="宋体"/>
          <w:i w:val="0"/>
          <w:iCs/>
          <w:color w:val="auto"/>
          <w:sz w:val="24"/>
          <w:szCs w:val="24"/>
          <w:highlight w:val="none"/>
          <w:u w:val="none"/>
        </w:rPr>
      </w:pPr>
    </w:p>
    <w:p w14:paraId="6602A20D">
      <w:pPr>
        <w:pStyle w:val="47"/>
        <w:rPr>
          <w:rFonts w:hint="eastAsia"/>
          <w:color w:val="auto"/>
          <w:highlight w:val="none"/>
        </w:rPr>
      </w:pPr>
    </w:p>
    <w:p w14:paraId="6EE2F899">
      <w:pPr>
        <w:pStyle w:val="47"/>
        <w:rPr>
          <w:rFonts w:hint="eastAsia"/>
          <w:color w:val="auto"/>
          <w:highlight w:val="none"/>
        </w:rPr>
      </w:pPr>
    </w:p>
    <w:p w14:paraId="3F10C37D">
      <w:pPr>
        <w:pStyle w:val="47"/>
        <w:rPr>
          <w:rFonts w:hint="eastAsia"/>
          <w:color w:val="auto"/>
          <w:highlight w:val="none"/>
        </w:rPr>
      </w:pPr>
    </w:p>
    <w:p w14:paraId="5EE4C036">
      <w:pPr>
        <w:pStyle w:val="36"/>
        <w:spacing w:beforeAutospacing="0" w:afterAutospacing="0" w:line="0" w:lineRule="atLeast"/>
        <w:ind w:firstLine="843"/>
        <w:jc w:val="both"/>
        <w:rPr>
          <w:rFonts w:hint="eastAsia" w:asciiTheme="minorEastAsia" w:hAnsiTheme="minorEastAsia" w:eastAsiaTheme="minorEastAsia" w:cstheme="minorEastAsia"/>
          <w:color w:val="auto"/>
          <w:highlight w:val="none"/>
        </w:rPr>
      </w:pPr>
    </w:p>
    <w:p w14:paraId="2FC294DF">
      <w:pPr>
        <w:pStyle w:val="36"/>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923CE39">
      <w:pPr>
        <w:pStyle w:val="36"/>
        <w:spacing w:beforeAutospacing="0" w:afterAutospacing="0"/>
        <w:jc w:val="both"/>
        <w:rPr>
          <w:rFonts w:hint="eastAsia" w:asciiTheme="minorEastAsia" w:hAnsiTheme="minorEastAsia" w:eastAsiaTheme="minorEastAsia" w:cstheme="minorEastAsia"/>
          <w:b w:val="0"/>
          <w:bCs w:val="0"/>
          <w:i/>
          <w:iCs w:val="0"/>
          <w:color w:val="auto"/>
          <w:highlight w:val="none"/>
          <w:u w:val="none"/>
        </w:rPr>
      </w:pPr>
      <w:r>
        <w:rPr>
          <w:rFonts w:hint="eastAsia" w:asciiTheme="minorEastAsia" w:hAnsiTheme="minorEastAsia" w:eastAsiaTheme="minorEastAsia" w:cstheme="minorEastAsia"/>
          <w:b w:val="0"/>
          <w:bCs w:val="0"/>
          <w:i/>
          <w:iCs w:val="0"/>
          <w:color w:val="auto"/>
          <w:sz w:val="32"/>
          <w:szCs w:val="32"/>
          <w:highlight w:val="none"/>
          <w:u w:val="none"/>
        </w:rPr>
        <w:t>六、特定资格要求的证明文件</w:t>
      </w:r>
    </w:p>
    <w:p w14:paraId="16734A19">
      <w:pPr>
        <w:pStyle w:val="36"/>
        <w:spacing w:beforeAutospacing="0" w:afterAutospacing="0" w:line="0" w:lineRule="atLeast"/>
        <w:jc w:val="both"/>
        <w:rPr>
          <w:rFonts w:hint="eastAsia" w:asciiTheme="minorEastAsia" w:hAnsiTheme="minorEastAsia" w:eastAsiaTheme="minorEastAsia" w:cstheme="minorEastAsia"/>
          <w:b w:val="0"/>
          <w:bCs w:val="0"/>
          <w:i w:val="0"/>
          <w:iCs/>
          <w:color w:val="auto"/>
          <w:highlight w:val="none"/>
          <w:u w:val="none"/>
        </w:rPr>
      </w:pPr>
      <w:r>
        <w:rPr>
          <w:rFonts w:hint="eastAsia" w:asciiTheme="minorEastAsia" w:hAnsiTheme="minorEastAsia" w:eastAsiaTheme="minorEastAsia" w:cstheme="minorEastAsia"/>
          <w:b w:val="0"/>
          <w:bCs w:val="0"/>
          <w:i w:val="0"/>
          <w:iCs/>
          <w:color w:val="auto"/>
          <w:highlight w:val="none"/>
          <w:u w:val="none"/>
        </w:rPr>
        <w:t>    如果本项目申请人的特定资格要求中要求提供的，必须提供。</w:t>
      </w:r>
    </w:p>
    <w:p w14:paraId="1004AADC">
      <w:pPr>
        <w:pStyle w:val="36"/>
        <w:spacing w:beforeAutospacing="0" w:afterAutospacing="0" w:line="0" w:lineRule="atLeast"/>
        <w:jc w:val="both"/>
        <w:rPr>
          <w:rFonts w:hint="eastAsia" w:asciiTheme="minorEastAsia" w:hAnsiTheme="minorEastAsia" w:eastAsiaTheme="minorEastAsia" w:cstheme="minorEastAsia"/>
          <w:b w:val="0"/>
          <w:bCs w:val="0"/>
          <w:i w:val="0"/>
          <w:iCs/>
          <w:color w:val="auto"/>
          <w:sz w:val="32"/>
          <w:szCs w:val="32"/>
          <w:highlight w:val="none"/>
          <w:u w:val="none"/>
        </w:rPr>
      </w:pPr>
      <w:r>
        <w:rPr>
          <w:rFonts w:hint="eastAsia" w:asciiTheme="minorEastAsia" w:hAnsiTheme="minorEastAsia" w:eastAsiaTheme="minorEastAsia" w:cstheme="minorEastAsia"/>
          <w:b w:val="0"/>
          <w:bCs w:val="0"/>
          <w:i w:val="0"/>
          <w:iCs/>
          <w:color w:val="auto"/>
          <w:highlight w:val="none"/>
          <w:u w:val="none"/>
        </w:rPr>
        <w:t> </w:t>
      </w:r>
    </w:p>
    <w:p w14:paraId="7B8112E0">
      <w:pPr>
        <w:pStyle w:val="36"/>
        <w:spacing w:beforeAutospacing="0" w:afterAutospacing="0"/>
        <w:jc w:val="both"/>
        <w:rPr>
          <w:rFonts w:hint="eastAsia" w:asciiTheme="minorEastAsia" w:hAnsiTheme="minorEastAsia" w:eastAsiaTheme="minorEastAsia" w:cstheme="minorEastAsia"/>
          <w:b w:val="0"/>
          <w:bCs w:val="0"/>
          <w:i/>
          <w:iCs w:val="0"/>
          <w:color w:val="auto"/>
          <w:sz w:val="32"/>
          <w:szCs w:val="32"/>
          <w:highlight w:val="none"/>
          <w:u w:val="none"/>
          <w:lang w:val="en-US" w:eastAsia="zh-CN"/>
        </w:rPr>
      </w:pPr>
    </w:p>
    <w:p w14:paraId="5907A8B9">
      <w:pPr>
        <w:pStyle w:val="36"/>
        <w:spacing w:beforeAutospacing="0" w:afterAutospacing="0"/>
        <w:jc w:val="both"/>
        <w:rPr>
          <w:rFonts w:hint="eastAsia" w:asciiTheme="minorEastAsia" w:hAnsiTheme="minorEastAsia" w:eastAsiaTheme="minorEastAsia" w:cstheme="minorEastAsia"/>
          <w:b w:val="0"/>
          <w:bCs w:val="0"/>
          <w:i/>
          <w:iCs w:val="0"/>
          <w:color w:val="auto"/>
          <w:sz w:val="32"/>
          <w:szCs w:val="32"/>
          <w:highlight w:val="none"/>
          <w:u w:val="none"/>
          <w:lang w:val="en-US" w:eastAsia="zh-CN"/>
        </w:rPr>
      </w:pPr>
      <w:r>
        <w:rPr>
          <w:rFonts w:hint="eastAsia" w:asciiTheme="minorEastAsia" w:hAnsiTheme="minorEastAsia" w:eastAsiaTheme="minorEastAsia" w:cstheme="minorEastAsia"/>
          <w:b w:val="0"/>
          <w:bCs w:val="0"/>
          <w:i/>
          <w:iCs w:val="0"/>
          <w:color w:val="auto"/>
          <w:sz w:val="32"/>
          <w:szCs w:val="32"/>
          <w:highlight w:val="none"/>
          <w:u w:val="none"/>
          <w:lang w:val="en-US" w:eastAsia="zh-CN"/>
        </w:rPr>
        <w:t>七、法人授权书</w:t>
      </w:r>
    </w:p>
    <w:p w14:paraId="27A0E11B">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本授权书声明：____________（投标人名称）授权________________（被授权人的姓名）为我方就JSZC-</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号项目采购活动的合法代理人，以本单位名义全权处理一切与该项目采购有关的事务。</w:t>
      </w:r>
    </w:p>
    <w:p w14:paraId="5A6DC1CB">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本授权书于______年____月____日起生效，特此声明。</w:t>
      </w:r>
    </w:p>
    <w:p w14:paraId="3676838D">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被授权人身份证号码：</w:t>
      </w:r>
      <w:r>
        <w:rPr>
          <w:rFonts w:hint="eastAsia" w:asciiTheme="minorEastAsia" w:hAnsiTheme="minorEastAsia" w:eastAsiaTheme="minorEastAsia" w:cstheme="minorEastAsia"/>
          <w:color w:val="auto"/>
          <w:sz w:val="24"/>
          <w:szCs w:val="24"/>
          <w:highlight w:val="none"/>
          <w:u w:val="single"/>
          <w:lang w:val="en-US" w:eastAsia="zh-CN"/>
        </w:rPr>
        <w:t>        </w:t>
      </w:r>
      <w:r>
        <w:rPr>
          <w:rFonts w:hint="eastAsia" w:asciiTheme="minorEastAsia" w:hAnsiTheme="minorEastAsia" w:eastAsiaTheme="minorEastAsia" w:cstheme="minorEastAsia"/>
          <w:color w:val="auto"/>
          <w:sz w:val="24"/>
          <w:szCs w:val="24"/>
          <w:highlight w:val="none"/>
          <w:lang w:val="en-US" w:eastAsia="zh-CN"/>
        </w:rPr>
        <w:t xml:space="preserve">                      </w:t>
      </w:r>
    </w:p>
    <w:p w14:paraId="75DB2C1B">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被授权人联系电话：</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（手机）                            </w:t>
      </w:r>
    </w:p>
    <w:p w14:paraId="66EEE359">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授权单位名称：</w:t>
      </w:r>
      <w:r>
        <w:rPr>
          <w:rFonts w:hint="eastAsia" w:asciiTheme="minorEastAsia" w:hAnsiTheme="minorEastAsia" w:eastAsiaTheme="minorEastAsia" w:cstheme="minorEastAsia"/>
          <w:color w:val="auto"/>
          <w:sz w:val="24"/>
          <w:szCs w:val="24"/>
          <w:highlight w:val="none"/>
          <w:u w:val="single"/>
          <w:lang w:val="en-US" w:eastAsia="zh-CN"/>
        </w:rPr>
        <w:t>（加盖CA电子公章）</w:t>
      </w:r>
    </w:p>
    <w:p w14:paraId="0E8B2489">
      <w:pPr>
        <w:pStyle w:val="36"/>
        <w:spacing w:beforeAutospacing="0" w:afterAutospacing="0" w:line="360" w:lineRule="auto"/>
        <w:ind w:firstLine="480"/>
        <w:jc w:val="both"/>
        <w:rPr>
          <w:rFonts w:hint="default"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lang w:val="en-US" w:eastAsia="zh-CN"/>
        </w:rPr>
        <w:t>单位地址：</w:t>
      </w:r>
      <w:r>
        <w:rPr>
          <w:rFonts w:hint="eastAsia" w:asciiTheme="minorEastAsia" w:hAnsiTheme="minorEastAsia" w:cstheme="minorEastAsia"/>
          <w:color w:val="auto"/>
          <w:sz w:val="24"/>
          <w:szCs w:val="24"/>
          <w:highlight w:val="none"/>
          <w:u w:val="single"/>
          <w:lang w:val="en-US" w:eastAsia="zh-CN"/>
        </w:rPr>
        <w:t xml:space="preserve">           </w:t>
      </w:r>
    </w:p>
    <w:p w14:paraId="07004CC6">
      <w:pPr>
        <w:pStyle w:val="36"/>
        <w:spacing w:beforeAutospacing="0" w:afterAutospacing="0" w:line="360" w:lineRule="auto"/>
        <w:ind w:firstLine="480"/>
        <w:jc w:val="both"/>
        <w:rPr>
          <w:rFonts w:hint="default" w:asciiTheme="minorEastAsia" w:hAnsiTheme="minorEastAsia" w:eastAsiaTheme="minorEastAsia" w:cstheme="minorEastAsia"/>
          <w:color w:val="auto"/>
          <w:sz w:val="24"/>
          <w:szCs w:val="24"/>
          <w:highlight w:val="none"/>
          <w:u w:val="single"/>
          <w:lang w:val="en-US" w:eastAsia="zh-CN"/>
        </w:rPr>
      </w:pPr>
      <w:bookmarkStart w:id="195" w:name="_Hlt26955070"/>
      <w:bookmarkStart w:id="196" w:name="_格式3__银行出具的资信证明"/>
      <w:bookmarkStart w:id="197" w:name="_Hlt26671380"/>
      <w:r>
        <w:rPr>
          <w:rFonts w:hint="eastAsia" w:asciiTheme="minorEastAsia" w:hAnsiTheme="minorEastAsia" w:eastAsiaTheme="minorEastAsia" w:cstheme="minorEastAsia"/>
          <w:color w:val="auto"/>
          <w:sz w:val="24"/>
          <w:szCs w:val="24"/>
          <w:highlight w:val="none"/>
          <w:lang w:val="en-US" w:eastAsia="zh-CN"/>
        </w:rPr>
        <w:t>日期：</w:t>
      </w:r>
      <w:r>
        <w:rPr>
          <w:rFonts w:hint="eastAsia" w:asciiTheme="minorEastAsia" w:hAnsiTheme="minorEastAsia" w:cstheme="minorEastAsia"/>
          <w:color w:val="auto"/>
          <w:sz w:val="24"/>
          <w:szCs w:val="24"/>
          <w:highlight w:val="none"/>
          <w:u w:val="single"/>
          <w:lang w:val="en-US" w:eastAsia="zh-CN"/>
        </w:rPr>
        <w:t xml:space="preserve">         </w:t>
      </w:r>
    </w:p>
    <w:p w14:paraId="238C6A0E">
      <w:pPr>
        <w:pStyle w:val="36"/>
        <w:tabs>
          <w:tab w:val="left" w:pos="360"/>
        </w:tabs>
        <w:spacing w:beforeAutospacing="0" w:afterAutospacing="0"/>
        <w:jc w:val="both"/>
        <w:rPr>
          <w:rFonts w:hint="eastAsia" w:asciiTheme="minorEastAsia" w:hAnsiTheme="minorEastAsia" w:eastAsiaTheme="minorEastAsia" w:cstheme="minorEastAsia"/>
          <w:b w:val="0"/>
          <w:bCs w:val="0"/>
          <w:i w:val="0"/>
          <w:iCs/>
          <w:color w:val="auto"/>
          <w:highlight w:val="none"/>
          <w:u w:val="none"/>
        </w:rPr>
      </w:pPr>
      <w:r>
        <w:rPr>
          <w:rFonts w:hint="eastAsia" w:asciiTheme="minorEastAsia" w:hAnsiTheme="minorEastAsia" w:eastAsiaTheme="minorEastAsia" w:cstheme="minorEastAsia"/>
          <w:b w:val="0"/>
          <w:bCs w:val="0"/>
          <w:i w:val="0"/>
          <w:iCs/>
          <w:color w:val="auto"/>
          <w:highlight w:val="none"/>
          <w:u w:val="none"/>
        </w:rPr>
        <w:t xml:space="preserve">                                         </w:t>
      </w:r>
    </w:p>
    <w:p w14:paraId="17BBA1E6">
      <w:pPr>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color w:val="auto"/>
          <w:highlight w:val="none"/>
        </w:rPr>
        <w:br w:type="page" w:clear="all"/>
      </w:r>
    </w:p>
    <w:p w14:paraId="0C4B3200">
      <w:pPr>
        <w:pStyle w:val="36"/>
        <w:tabs>
          <w:tab w:val="left" w:pos="360"/>
        </w:tabs>
        <w:spacing w:beforeAutospacing="0" w:afterAutospacing="0"/>
        <w:ind w:firstLine="480"/>
        <w:jc w:val="center"/>
        <w:rPr>
          <w:rFonts w:hint="eastAsia" w:asciiTheme="minorEastAsia" w:hAnsiTheme="minorEastAsia" w:eastAsiaTheme="minorEastAsia" w:cstheme="minorEastAsia"/>
          <w:b/>
          <w:i/>
          <w:iCs/>
          <w:color w:val="auto"/>
          <w:sz w:val="32"/>
          <w:szCs w:val="32"/>
          <w:highlight w:val="none"/>
        </w:rPr>
      </w:pPr>
      <w:r>
        <w:rPr>
          <w:rFonts w:hint="eastAsia" w:asciiTheme="minorEastAsia" w:hAnsiTheme="minorEastAsia" w:eastAsiaTheme="minorEastAsia" w:cstheme="minorEastAsia"/>
          <w:b/>
          <w:i/>
          <w:iCs/>
          <w:color w:val="auto"/>
          <w:sz w:val="32"/>
          <w:szCs w:val="32"/>
          <w:highlight w:val="none"/>
        </w:rPr>
        <w:t>八、投标函</w:t>
      </w:r>
    </w:p>
    <w:p w14:paraId="753A718A">
      <w:pPr>
        <w:pStyle w:val="36"/>
        <w:spacing w:beforeAutospacing="0" w:afterAutospacing="0" w:line="360" w:lineRule="auto"/>
        <w:ind w:firstLine="480"/>
        <w:jc w:val="both"/>
        <w:rPr>
          <w:rFonts w:hint="default"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lang w:val="en-US" w:eastAsia="zh-CN"/>
        </w:rPr>
        <w:t>致：</w:t>
      </w:r>
      <w:r>
        <w:rPr>
          <w:rFonts w:hint="eastAsia" w:asciiTheme="minorEastAsia" w:hAnsiTheme="minorEastAsia" w:cstheme="minorEastAsia"/>
          <w:color w:val="auto"/>
          <w:sz w:val="24"/>
          <w:szCs w:val="24"/>
          <w:highlight w:val="none"/>
          <w:u w:val="single"/>
          <w:lang w:val="en-US" w:eastAsia="zh-CN"/>
        </w:rPr>
        <w:t xml:space="preserve">             </w:t>
      </w:r>
    </w:p>
    <w:p w14:paraId="77DC4951">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根据贵方的</w:t>
      </w:r>
      <w:r>
        <w:rPr>
          <w:rFonts w:hint="eastAsia" w:asciiTheme="minorEastAsia" w:hAnsiTheme="minorEastAsia" w:eastAsiaTheme="minorEastAsia" w:cstheme="minorEastAsia"/>
          <w:color w:val="auto"/>
          <w:sz w:val="24"/>
          <w:szCs w:val="24"/>
          <w:highlight w:val="none"/>
          <w:u w:val="single"/>
          <w:lang w:val="en-US" w:eastAsia="zh-CN"/>
        </w:rPr>
        <w:t xml:space="preserve"> JSZC-</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号招标文件，正式授权下述签字人______(姓名)代表我方______________（投标人的名称），全权处理本次项目投标的有关事宜。</w:t>
      </w:r>
    </w:p>
    <w:p w14:paraId="562BF429">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据此函，__________签字人兹宣布同意如下：</w:t>
      </w:r>
    </w:p>
    <w:p w14:paraId="569BEF94">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1.按招标文件规定的各项要求，向买方提供所需服务（包含与服务相关的货物）。</w:t>
      </w:r>
    </w:p>
    <w:p w14:paraId="5054FB78">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2.我们完全理解贵方不一定将合同授予最低报价的投标人。</w:t>
      </w:r>
    </w:p>
    <w:p w14:paraId="00BB8127">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3.我们已详细审核全部招标文件及其有效补充文件，我们知道必须放弃提出含糊不清或误解问题的权利。</w:t>
      </w:r>
    </w:p>
    <w:p w14:paraId="4B542713">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4.我们同意从规定的开标日期起遵循本投标文件，并在规定的投标有效期期满之前均具有约束力。</w:t>
      </w:r>
    </w:p>
    <w:p w14:paraId="461A0A8F">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5.同意向贵方提供贵方可能另外要求的与投标有关的任何证据或资料，并保证我方已提供和将要提供的文件是真实的、准确的。</w:t>
      </w:r>
    </w:p>
    <w:p w14:paraId="3D5F229F">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6.一旦我方中标,我方将根据招标文件的规定，严格履行合同的责任和义务,并保证在招标文件规定的时间完成项目，交付买方验收、使用。</w:t>
      </w:r>
    </w:p>
    <w:p w14:paraId="6E325524">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7.与本投标有关的正式通讯地址为：</w:t>
      </w:r>
    </w:p>
    <w:p w14:paraId="0D9E2B66">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地址：</w:t>
      </w:r>
    </w:p>
    <w:p w14:paraId="1EEF5E3A">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邮编：</w:t>
      </w:r>
    </w:p>
    <w:p w14:paraId="1F253CD4">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电话：</w:t>
      </w:r>
    </w:p>
    <w:p w14:paraId="415FD4E7">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传真：</w:t>
      </w:r>
    </w:p>
    <w:p w14:paraId="63EFFFBC">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投标人开户行：</w:t>
      </w:r>
    </w:p>
    <w:p w14:paraId="28149C19">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账号： </w:t>
      </w:r>
    </w:p>
    <w:p w14:paraId="56C1C475">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日期：________年____月____日</w:t>
      </w:r>
    </w:p>
    <w:p w14:paraId="2C6B5FDA">
      <w:pPr>
        <w:pStyle w:val="3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36466FF7">
      <w:pPr>
        <w:pStyle w:val="3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AE7274C">
      <w:pPr>
        <w:pStyle w:val="3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1A7D6C4">
      <w:pPr>
        <w:pStyle w:val="3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BC476C6">
      <w:pPr>
        <w:pStyle w:val="3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p>
    <w:p w14:paraId="7E46264C">
      <w:pPr>
        <w:pStyle w:val="3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1B810005">
      <w:pPr>
        <w:pStyle w:val="3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p>
    <w:p w14:paraId="424160BF">
      <w:pPr>
        <w:pStyle w:val="3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p>
    <w:p w14:paraId="7144AC8F">
      <w:pPr>
        <w:pStyle w:val="3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p>
    <w:p w14:paraId="02B8134F">
      <w:pPr>
        <w:pStyle w:val="3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p>
    <w:p w14:paraId="23658198">
      <w:pPr>
        <w:pStyle w:val="36"/>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76DE9618">
      <w:pPr>
        <w:pStyle w:val="36"/>
        <w:spacing w:beforeAutospacing="0" w:afterAutospacing="0" w:line="0" w:lineRule="atLeast"/>
        <w:jc w:val="both"/>
        <w:rPr>
          <w:rFonts w:hint="eastAsia" w:asciiTheme="minorEastAsia" w:hAnsiTheme="minorEastAsia" w:eastAsiaTheme="minorEastAsia" w:cstheme="minorEastAsia"/>
          <w:color w:val="auto"/>
          <w:highlight w:val="none"/>
        </w:rPr>
      </w:pPr>
    </w:p>
    <w:p w14:paraId="39C1DA48">
      <w:pPr>
        <w:pStyle w:val="36"/>
        <w:spacing w:beforeAutospacing="0" w:afterAutospacing="0" w:line="0" w:lineRule="atLeast"/>
        <w:jc w:val="both"/>
        <w:rPr>
          <w:rFonts w:hint="eastAsia" w:asciiTheme="minorEastAsia" w:hAnsiTheme="minorEastAsia" w:eastAsiaTheme="minorEastAsia" w:cstheme="minorEastAsia"/>
          <w:color w:val="auto"/>
          <w:highlight w:val="none"/>
        </w:rPr>
      </w:pPr>
    </w:p>
    <w:p w14:paraId="12023078">
      <w:pPr>
        <w:pStyle w:val="36"/>
        <w:spacing w:beforeAutospacing="0" w:afterAutospacing="0" w:line="0" w:lineRule="atLeast"/>
        <w:jc w:val="both"/>
        <w:rPr>
          <w:rFonts w:hint="eastAsia" w:asciiTheme="minorEastAsia" w:hAnsiTheme="minorEastAsia" w:eastAsiaTheme="minorEastAsia" w:cstheme="minorEastAsia"/>
          <w:color w:val="auto"/>
          <w:highlight w:val="none"/>
        </w:rPr>
      </w:pPr>
    </w:p>
    <w:p w14:paraId="1955D048">
      <w:pPr>
        <w:pStyle w:val="36"/>
        <w:numPr>
          <w:ilvl w:val="0"/>
          <w:numId w:val="6"/>
        </w:numPr>
        <w:spacing w:beforeAutospacing="0" w:afterAutospacing="0" w:line="0" w:lineRule="atLeast"/>
        <w:jc w:val="center"/>
        <w:rPr>
          <w:rFonts w:hint="eastAsia" w:asciiTheme="minorEastAsia" w:hAnsiTheme="minorEastAsia" w:eastAsiaTheme="minorEastAsia" w:cstheme="minorEastAsia"/>
          <w:b/>
          <w:i/>
          <w:iCs/>
          <w:color w:val="auto"/>
          <w:sz w:val="32"/>
          <w:szCs w:val="32"/>
          <w:highlight w:val="none"/>
        </w:rPr>
      </w:pP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w:t>
      </w:r>
    </w:p>
    <w:p w14:paraId="31880CB9">
      <w:pPr>
        <w:pStyle w:val="36"/>
        <w:numPr>
          <w:ilvl w:val="0"/>
          <w:numId w:val="0"/>
        </w:numPr>
        <w:spacing w:beforeAutospacing="0" w:afterAutospacing="0" w:line="0" w:lineRule="atLeast"/>
        <w:jc w:val="both"/>
        <w:rPr>
          <w:rFonts w:hint="eastAsia" w:asciiTheme="minorEastAsia" w:hAnsiTheme="minorEastAsia" w:eastAsiaTheme="minorEastAsia" w:cstheme="minorEastAsia"/>
          <w:b/>
          <w:color w:val="auto"/>
          <w:sz w:val="32"/>
          <w:szCs w:val="32"/>
          <w:highlight w:val="none"/>
        </w:rPr>
      </w:pPr>
    </w:p>
    <w:p w14:paraId="1DCF832C">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号）的规定，本公司（联合体）参加盐城市政府采购中心组织的</w:t>
      </w:r>
      <w:r>
        <w:rPr>
          <w:rFonts w:hint="eastAsia"/>
          <w:i/>
          <w:iCs/>
          <w:color w:val="auto"/>
          <w:sz w:val="24"/>
          <w:szCs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2604D9A">
      <w:pPr>
        <w:numPr>
          <w:ilvl w:val="0"/>
          <w:numId w:val="7"/>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numPr>
          <w:ilvl w:val="0"/>
          <w:numId w:val="7"/>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36"/>
        <w:spacing w:beforeAutospacing="0" w:afterAutospacing="0" w:line="0" w:lineRule="atLeast"/>
        <w:ind w:right="720"/>
        <w:jc w:val="both"/>
        <w:rPr>
          <w:color w:val="auto"/>
          <w:highlight w:val="none"/>
        </w:rPr>
      </w:pPr>
      <w:r>
        <w:rPr>
          <w:color w:val="auto"/>
          <w:highlight w:val="none"/>
        </w:rPr>
        <w:t> </w:t>
      </w:r>
    </w:p>
    <w:p w14:paraId="6CD49601">
      <w:pPr>
        <w:pStyle w:val="36"/>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36"/>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9B20EFD">
      <w:pPr>
        <w:pStyle w:val="36"/>
        <w:spacing w:beforeAutospacing="0" w:afterAutospacing="0" w:line="0" w:lineRule="atLeast"/>
        <w:ind w:firstLine="240"/>
        <w:jc w:val="both"/>
        <w:rPr>
          <w:color w:val="auto"/>
          <w:highlight w:val="none"/>
        </w:rPr>
      </w:pPr>
      <w:r>
        <w:rPr>
          <w:color w:val="auto"/>
          <w:highlight w:val="none"/>
        </w:rPr>
        <w:t> </w:t>
      </w:r>
    </w:p>
    <w:p w14:paraId="5FD8B9FE">
      <w:pPr>
        <w:pStyle w:val="36"/>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lang w:eastAsia="zh-CN"/>
        </w:rPr>
        <w:t>年</w:t>
      </w:r>
      <w:r>
        <w:rPr>
          <w:rFonts w:hint="eastAsia" w:ascii="宋体" w:hAnsi="宋体" w:eastAsia="宋体" w:cs="宋体"/>
          <w:color w:val="auto"/>
          <w:highlight w:val="none"/>
        </w:rPr>
        <w:t>度数据，无上</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lang w:eastAsia="zh-CN"/>
        </w:rPr>
        <w:t>年</w:t>
      </w:r>
      <w:r>
        <w:rPr>
          <w:rFonts w:hint="eastAsia" w:ascii="宋体" w:hAnsi="宋体" w:eastAsia="宋体" w:cs="宋体"/>
          <w:color w:val="auto"/>
          <w:highlight w:val="none"/>
        </w:rPr>
        <w:t>度数据的新成立企业可不填报。</w:t>
      </w:r>
    </w:p>
    <w:p w14:paraId="4181A3D1">
      <w:pPr>
        <w:pStyle w:val="36"/>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29F58672">
      <w:pPr>
        <w:pStyle w:val="36"/>
        <w:spacing w:beforeAutospacing="0" w:afterAutospacing="0" w:line="360" w:lineRule="auto"/>
        <w:ind w:firstLine="5866"/>
        <w:jc w:val="both"/>
        <w:rPr>
          <w:rFonts w:hint="eastAsia" w:asciiTheme="minorEastAsia" w:hAnsiTheme="minorEastAsia" w:eastAsiaTheme="minorEastAsia" w:cstheme="minorEastAsia"/>
          <w:color w:val="auto"/>
          <w:sz w:val="24"/>
          <w:szCs w:val="24"/>
          <w:highlight w:val="none"/>
          <w:lang w:val="en-US" w:eastAsia="zh-CN"/>
        </w:rPr>
      </w:pPr>
      <w:bookmarkStart w:id="212" w:name="_GoBack"/>
      <w:r>
        <w:rPr>
          <w:rFonts w:hint="eastAsia" w:asciiTheme="minorEastAsia" w:hAnsiTheme="minorEastAsia" w:eastAsiaTheme="minorEastAsia" w:cstheme="minorEastAsia"/>
          <w:b/>
          <w:color w:val="auto"/>
          <w:sz w:val="32"/>
          <w:szCs w:val="32"/>
          <w:highlight w:val="none"/>
        </w:rPr>
        <w:br w:type="page" w:clear="all"/>
      </w:r>
    </w:p>
    <w:bookmarkEnd w:id="212"/>
    <w:p w14:paraId="11135A6F">
      <w:pPr>
        <w:pBdr>
          <w:top w:val="none" w:color="000000" w:sz="0" w:space="0"/>
          <w:left w:val="none" w:color="000000" w:sz="0" w:space="0"/>
          <w:bottom w:val="none" w:color="000000" w:sz="0" w:space="0"/>
          <w:right w:val="none" w:color="000000" w:sz="0" w:space="0"/>
        </w:pBdr>
        <w:spacing w:before="100" w:after="100" w:line="312" w:lineRule="atLeast"/>
        <w:ind w:left="0" w:right="0" w:firstLine="0"/>
        <w:jc w:val="center"/>
        <w:rPr>
          <w:rFonts w:ascii="宋体" w:hAnsi="宋体" w:eastAsia="宋体" w:cs="宋体"/>
          <w:b/>
          <w:i w:val="0"/>
          <w:iCs/>
          <w:color w:val="auto"/>
          <w:sz w:val="32"/>
          <w:highlight w:val="none"/>
          <w:u w:val="single"/>
        </w:rPr>
      </w:pPr>
    </w:p>
    <w:p w14:paraId="3C438E2C">
      <w:pPr>
        <w:pStyle w:val="36"/>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十、残疾人福利性单位声明函</w:t>
      </w:r>
    </w:p>
    <w:p w14:paraId="40AD2CD4">
      <w:pPr>
        <w:pStyle w:val="36"/>
        <w:keepNext w:val="0"/>
        <w:keepLines w:val="0"/>
        <w:pageBreakBefore w:val="0"/>
        <w:widowControl w:val="0"/>
        <w:kinsoku/>
        <w:wordWrap/>
        <w:overflowPunct/>
        <w:topLinePunct w:val="0"/>
        <w:autoSpaceDE/>
        <w:autoSpaceDN/>
        <w:bidi w:val="0"/>
        <w:adjustRightInd/>
        <w:snapToGrid/>
        <w:spacing w:beforeAutospacing="0" w:afterAutospacing="0" w:line="500" w:lineRule="atLeast"/>
        <w:ind w:firstLine="480"/>
        <w:jc w:val="both"/>
        <w:textAlignment w:val="auto"/>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〔2017〕141号</w:t>
      </w:r>
      <w:r>
        <w:rPr>
          <w:rFonts w:hint="eastAsia" w:ascii="宋体" w:hAnsi="宋体" w:eastAsia="宋体" w:cs="宋体"/>
          <w:color w:val="auto"/>
          <w:highlight w:val="none"/>
        </w:rPr>
        <w:t>）的规定，本单位为符合条件的残疾人福利性单位，且本单位参加______单位的采购文件编号为______的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项目采购活动由本单位提供服务。</w:t>
      </w:r>
    </w:p>
    <w:p w14:paraId="7214428A">
      <w:pPr>
        <w:pStyle w:val="36"/>
        <w:keepNext w:val="0"/>
        <w:keepLines w:val="0"/>
        <w:pageBreakBefore w:val="0"/>
        <w:widowControl w:val="0"/>
        <w:kinsoku/>
        <w:wordWrap/>
        <w:overflowPunct/>
        <w:topLinePunct w:val="0"/>
        <w:autoSpaceDE/>
        <w:autoSpaceDN/>
        <w:bidi w:val="0"/>
        <w:adjustRightInd/>
        <w:snapToGrid/>
        <w:spacing w:beforeAutospacing="0" w:afterAutospacing="0" w:line="500" w:lineRule="atLeast"/>
        <w:ind w:firstLine="480"/>
        <w:jc w:val="both"/>
        <w:textAlignment w:val="auto"/>
        <w:rPr>
          <w:color w:val="auto"/>
          <w:highlight w:val="none"/>
        </w:rPr>
      </w:pPr>
      <w:r>
        <w:rPr>
          <w:rFonts w:hint="eastAsia" w:ascii="宋体" w:hAnsi="宋体" w:eastAsia="宋体" w:cs="宋体"/>
          <w:color w:val="auto"/>
          <w:highlight w:val="none"/>
        </w:rPr>
        <w:t>本单位对上述声明的真实性负责。如有虚假，将依法承担相应责任。</w:t>
      </w:r>
    </w:p>
    <w:p w14:paraId="13451427">
      <w:pPr>
        <w:pStyle w:val="36"/>
        <w:keepNext w:val="0"/>
        <w:keepLines w:val="0"/>
        <w:pageBreakBefore w:val="0"/>
        <w:widowControl w:val="0"/>
        <w:kinsoku/>
        <w:wordWrap/>
        <w:overflowPunct/>
        <w:topLinePunct w:val="0"/>
        <w:autoSpaceDE/>
        <w:autoSpaceDN/>
        <w:bidi w:val="0"/>
        <w:adjustRightInd/>
        <w:snapToGrid/>
        <w:spacing w:beforeAutospacing="0" w:afterAutospacing="0" w:line="500" w:lineRule="atLeast"/>
        <w:ind w:firstLine="480"/>
        <w:jc w:val="both"/>
        <w:textAlignment w:val="auto"/>
        <w:rPr>
          <w:color w:val="auto"/>
          <w:highlight w:val="none"/>
        </w:rPr>
      </w:pPr>
      <w:r>
        <w:rPr>
          <w:color w:val="auto"/>
          <w:highlight w:val="none"/>
        </w:rPr>
        <w:t> </w:t>
      </w:r>
    </w:p>
    <w:p w14:paraId="2FAF371E">
      <w:pPr>
        <w:pStyle w:val="36"/>
        <w:keepNext w:val="0"/>
        <w:keepLines w:val="0"/>
        <w:pageBreakBefore w:val="0"/>
        <w:widowControl w:val="0"/>
        <w:kinsoku/>
        <w:wordWrap/>
        <w:overflowPunct/>
        <w:topLinePunct w:val="0"/>
        <w:autoSpaceDE/>
        <w:autoSpaceDN/>
        <w:bidi w:val="0"/>
        <w:adjustRightInd/>
        <w:snapToGrid/>
        <w:spacing w:beforeAutospacing="0" w:afterAutospacing="0" w:line="500" w:lineRule="atLeast"/>
        <w:ind w:firstLine="480"/>
        <w:jc w:val="both"/>
        <w:textAlignment w:val="auto"/>
        <w:rPr>
          <w:rFonts w:hint="eastAsia" w:eastAsia="宋体"/>
          <w:color w:val="auto"/>
          <w:highlight w:val="none"/>
          <w:lang w:eastAsia="zh-CN"/>
        </w:rPr>
      </w:pPr>
      <w:r>
        <w:rPr>
          <w:rFonts w:hint="eastAsia" w:ascii="宋体" w:hAnsi="宋体" w:eastAsia="宋体" w:cs="宋体"/>
          <w:color w:val="auto"/>
          <w:highlight w:val="none"/>
        </w:rPr>
        <w:t>备注：1、供应商如不提供此声明函，价格将不做相应扣除</w:t>
      </w:r>
      <w:r>
        <w:rPr>
          <w:rFonts w:hint="eastAsia" w:ascii="宋体" w:hAnsi="宋体" w:eastAsia="宋体" w:cs="宋体"/>
          <w:color w:val="auto"/>
          <w:highlight w:val="none"/>
          <w:lang w:eastAsia="zh-CN"/>
        </w:rPr>
        <w:t>（如项目全面面向中小企业，则资格审查不通过）。</w:t>
      </w:r>
    </w:p>
    <w:p w14:paraId="29CEDC66">
      <w:pPr>
        <w:pStyle w:val="36"/>
        <w:keepNext w:val="0"/>
        <w:keepLines w:val="0"/>
        <w:pageBreakBefore w:val="0"/>
        <w:widowControl w:val="0"/>
        <w:kinsoku/>
        <w:wordWrap/>
        <w:overflowPunct/>
        <w:topLinePunct w:val="0"/>
        <w:autoSpaceDE/>
        <w:autoSpaceDN/>
        <w:bidi w:val="0"/>
        <w:adjustRightInd/>
        <w:snapToGrid/>
        <w:spacing w:beforeAutospacing="0" w:afterAutospacing="0" w:line="500" w:lineRule="atLeast"/>
        <w:ind w:firstLine="480"/>
        <w:jc w:val="both"/>
        <w:textAlignment w:val="auto"/>
        <w:rPr>
          <w:color w:val="auto"/>
          <w:highlight w:val="none"/>
        </w:rPr>
      </w:pPr>
      <w:r>
        <w:rPr>
          <w:rFonts w:hint="eastAsia" w:ascii="宋体" w:hAnsi="宋体" w:eastAsia="宋体" w:cs="宋体"/>
          <w:color w:val="auto"/>
          <w:highlight w:val="none"/>
        </w:rPr>
        <w:t>2、中标人为残疾人福利单位的，此声明函将随中标结果同时公告，接受社会监督</w:t>
      </w:r>
    </w:p>
    <w:p w14:paraId="756ED4E7">
      <w:pPr>
        <w:pStyle w:val="36"/>
        <w:keepNext w:val="0"/>
        <w:keepLines w:val="0"/>
        <w:pageBreakBefore w:val="0"/>
        <w:widowControl w:val="0"/>
        <w:kinsoku/>
        <w:wordWrap/>
        <w:overflowPunct/>
        <w:topLinePunct w:val="0"/>
        <w:autoSpaceDE/>
        <w:autoSpaceDN/>
        <w:bidi w:val="0"/>
        <w:adjustRightInd/>
        <w:snapToGrid/>
        <w:spacing w:beforeAutospacing="0" w:afterAutospacing="0" w:line="500" w:lineRule="atLeast"/>
        <w:ind w:firstLine="624"/>
        <w:jc w:val="both"/>
        <w:textAlignment w:val="auto"/>
        <w:rPr>
          <w:color w:val="auto"/>
          <w:highlight w:val="none"/>
        </w:rPr>
      </w:pPr>
      <w:r>
        <w:rPr>
          <w:color w:val="auto"/>
          <w:highlight w:val="none"/>
        </w:rPr>
        <w:t> </w:t>
      </w:r>
    </w:p>
    <w:p w14:paraId="0A80BD48">
      <w:pPr>
        <w:pStyle w:val="36"/>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500" w:lineRule="atLeast"/>
        <w:ind w:right="1560" w:firstLine="624"/>
        <w:jc w:val="center"/>
        <w:textAlignment w:val="auto"/>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26FB6E74">
      <w:pPr>
        <w:pStyle w:val="36"/>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500" w:lineRule="atLeast"/>
        <w:ind w:right="1560" w:firstLine="480"/>
        <w:jc w:val="center"/>
        <w:textAlignment w:val="auto"/>
        <w:rPr>
          <w:color w:val="auto"/>
          <w:highlight w:val="none"/>
        </w:rPr>
      </w:pPr>
      <w:r>
        <w:rPr>
          <w:rFonts w:hint="eastAsia" w:ascii="宋体" w:hAnsi="宋体" w:eastAsia="宋体" w:cs="宋体"/>
          <w:color w:val="auto"/>
          <w:highlight w:val="none"/>
        </w:rPr>
        <w:t>        日  期：</w:t>
      </w:r>
    </w:p>
    <w:p w14:paraId="1973F76D">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4591627A">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558F50FE">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788FCA56">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425384D8">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28E6C442">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151583A3">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68107FD5">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6C6D0DCB">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6FAFBD5C">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3058EE84">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37C1E70C">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4D9A3FA6">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32FBB789">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067327B2">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334D3163">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7D9639C7">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4A052E68">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739A09F3">
      <w:pPr>
        <w:pStyle w:val="36"/>
        <w:spacing w:beforeAutospacing="0" w:afterAutospacing="0" w:line="360" w:lineRule="auto"/>
        <w:jc w:val="both"/>
        <w:rPr>
          <w:rFonts w:hint="eastAsia" w:asciiTheme="minorEastAsia" w:hAnsiTheme="minorEastAsia" w:eastAsiaTheme="minorEastAsia" w:cstheme="minorEastAsia"/>
          <w:color w:val="auto"/>
          <w:highlight w:val="none"/>
        </w:rPr>
      </w:pPr>
    </w:p>
    <w:p w14:paraId="66F88145">
      <w:pPr>
        <w:pStyle w:val="211"/>
        <w:spacing w:beforeAutospacing="0" w:afterAutospacing="0" w:line="500" w:lineRule="exact"/>
        <w:jc w:val="center"/>
        <w:outlineLvl w:val="1"/>
        <w:rPr>
          <w:rFonts w:hint="eastAsia" w:ascii="黑体" w:hAnsi="黑体" w:eastAsia="黑体" w:cs="黑体"/>
          <w:i/>
          <w:color w:val="auto"/>
          <w:sz w:val="32"/>
          <w:szCs w:val="32"/>
          <w:highlight w:val="none"/>
          <w:u w:val="single"/>
        </w:rPr>
        <w:sectPr>
          <w:pgSz w:w="11906" w:h="16838"/>
          <w:pgMar w:top="607" w:right="850" w:bottom="850" w:left="1134" w:header="851" w:footer="992" w:gutter="0"/>
          <w:cols w:space="425" w:num="1"/>
          <w:docGrid w:linePitch="360" w:charSpace="0"/>
        </w:sectPr>
      </w:pPr>
    </w:p>
    <w:p w14:paraId="27A093CF">
      <w:pPr>
        <w:pStyle w:val="211"/>
        <w:spacing w:beforeAutospacing="0" w:afterAutospacing="0" w:line="500" w:lineRule="exact"/>
        <w:jc w:val="center"/>
        <w:outlineLvl w:val="1"/>
        <w:rPr>
          <w:rFonts w:hint="eastAsia" w:ascii="黑体" w:hAnsi="黑体" w:eastAsia="黑体" w:cs="黑体"/>
          <w:i/>
          <w:color w:val="auto"/>
          <w:sz w:val="32"/>
          <w:szCs w:val="32"/>
          <w:highlight w:val="none"/>
          <w:u w:val="single"/>
        </w:rPr>
      </w:pPr>
    </w:p>
    <w:p w14:paraId="51F15976">
      <w:pPr>
        <w:pStyle w:val="211"/>
        <w:spacing w:beforeAutospacing="0" w:afterAutospacing="0" w:line="500" w:lineRule="exact"/>
        <w:jc w:val="center"/>
        <w:outlineLvl w:val="1"/>
        <w:rPr>
          <w:rFonts w:ascii="宋体" w:hAnsi="宋体" w:eastAsia="宋体" w:cs="宋体"/>
          <w:color w:val="auto"/>
          <w:sz w:val="24"/>
          <w:highlight w:val="none"/>
        </w:rPr>
      </w:pP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一</w:t>
      </w:r>
      <w:r>
        <w:rPr>
          <w:rFonts w:hint="eastAsia" w:ascii="黑体" w:hAnsi="黑体" w:eastAsia="黑体" w:cs="黑体"/>
          <w:i/>
          <w:color w:val="auto"/>
          <w:sz w:val="32"/>
          <w:szCs w:val="32"/>
          <w:highlight w:val="none"/>
          <w:u w:val="single"/>
        </w:rPr>
        <w:t>、投标分项报价表</w:t>
      </w:r>
    </w:p>
    <w:tbl>
      <w:tblPr>
        <w:tblStyle w:val="40"/>
        <w:tblW w:w="90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84"/>
        <w:gridCol w:w="2634"/>
        <w:gridCol w:w="1161"/>
        <w:gridCol w:w="1093"/>
        <w:gridCol w:w="1387"/>
        <w:gridCol w:w="2017"/>
      </w:tblGrid>
      <w:tr w14:paraId="644F0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90" w:hRule="atLeast"/>
        </w:trPr>
        <w:tc>
          <w:tcPr>
            <w:tcW w:w="3418" w:type="dxa"/>
            <w:gridSpan w:val="2"/>
            <w:noWrap/>
            <w:vAlign w:val="center"/>
          </w:tcPr>
          <w:p w14:paraId="4166D92D">
            <w:pPr>
              <w:spacing w:line="400" w:lineRule="exact"/>
              <w:jc w:val="center"/>
              <w:rPr>
                <w:rFonts w:ascii="宋体" w:hAnsi="宋体" w:eastAsia="宋体" w:cs="宋体"/>
                <w:b/>
                <w:szCs w:val="21"/>
              </w:rPr>
            </w:pPr>
            <w:r>
              <w:rPr>
                <w:rFonts w:hint="eastAsia" w:ascii="宋体" w:hAnsi="宋体" w:eastAsia="宋体" w:cs="宋体"/>
                <w:b/>
                <w:szCs w:val="21"/>
              </w:rPr>
              <w:t>项目编号</w:t>
            </w:r>
          </w:p>
        </w:tc>
        <w:tc>
          <w:tcPr>
            <w:tcW w:w="5658" w:type="dxa"/>
            <w:gridSpan w:val="4"/>
            <w:noWrap/>
            <w:vAlign w:val="center"/>
          </w:tcPr>
          <w:p w14:paraId="264783C1">
            <w:pPr>
              <w:spacing w:line="400" w:lineRule="exact"/>
              <w:rPr>
                <w:rFonts w:ascii="宋体" w:hAnsi="宋体" w:eastAsia="宋体" w:cs="宋体"/>
                <w:b/>
                <w:szCs w:val="21"/>
              </w:rPr>
            </w:pPr>
          </w:p>
        </w:tc>
      </w:tr>
      <w:tr w14:paraId="5A700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43" w:hRule="atLeast"/>
        </w:trPr>
        <w:tc>
          <w:tcPr>
            <w:tcW w:w="3418" w:type="dxa"/>
            <w:gridSpan w:val="2"/>
            <w:noWrap/>
            <w:vAlign w:val="center"/>
          </w:tcPr>
          <w:p w14:paraId="06FDBA21">
            <w:pPr>
              <w:spacing w:line="400" w:lineRule="exact"/>
              <w:jc w:val="center"/>
              <w:rPr>
                <w:rFonts w:ascii="宋体" w:hAnsi="宋体" w:eastAsia="宋体" w:cs="宋体"/>
                <w:b/>
                <w:szCs w:val="21"/>
              </w:rPr>
            </w:pPr>
            <w:r>
              <w:rPr>
                <w:rFonts w:hint="eastAsia" w:ascii="宋体" w:hAnsi="宋体" w:eastAsia="宋体" w:cs="宋体"/>
                <w:b/>
                <w:szCs w:val="21"/>
              </w:rPr>
              <w:t>项目名称</w:t>
            </w:r>
          </w:p>
        </w:tc>
        <w:tc>
          <w:tcPr>
            <w:tcW w:w="5658" w:type="dxa"/>
            <w:gridSpan w:val="4"/>
            <w:noWrap/>
            <w:vAlign w:val="center"/>
          </w:tcPr>
          <w:p w14:paraId="56884E20">
            <w:pPr>
              <w:spacing w:line="400" w:lineRule="exact"/>
              <w:jc w:val="center"/>
              <w:rPr>
                <w:rFonts w:ascii="宋体" w:hAnsi="宋体" w:eastAsia="宋体" w:cs="宋体"/>
                <w:b/>
                <w:szCs w:val="21"/>
              </w:rPr>
            </w:pPr>
          </w:p>
        </w:tc>
      </w:tr>
      <w:tr w14:paraId="497EF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00" w:hRule="atLeast"/>
        </w:trPr>
        <w:tc>
          <w:tcPr>
            <w:tcW w:w="784" w:type="dxa"/>
            <w:noWrap/>
            <w:vAlign w:val="center"/>
          </w:tcPr>
          <w:p w14:paraId="0FCFBFE8">
            <w:pPr>
              <w:widowControl/>
              <w:jc w:val="center"/>
              <w:rPr>
                <w:rFonts w:ascii="宋体" w:hAnsi="宋体" w:eastAsia="宋体" w:cs="宋体"/>
                <w:szCs w:val="21"/>
              </w:rPr>
            </w:pPr>
            <w:r>
              <w:rPr>
                <w:rFonts w:hint="eastAsia" w:ascii="宋体" w:hAnsi="宋体" w:eastAsia="宋体" w:cs="宋体"/>
                <w:szCs w:val="21"/>
              </w:rPr>
              <w:t>序号</w:t>
            </w:r>
          </w:p>
        </w:tc>
        <w:tc>
          <w:tcPr>
            <w:tcW w:w="2634" w:type="dxa"/>
            <w:noWrap/>
            <w:vAlign w:val="center"/>
          </w:tcPr>
          <w:p w14:paraId="3D3FD179">
            <w:pPr>
              <w:pStyle w:val="36"/>
              <w:spacing w:beforeAutospacing="0" w:afterAutospacing="0" w:line="0" w:lineRule="atLeast"/>
              <w:jc w:val="center"/>
              <w:rPr>
                <w:rFonts w:ascii="宋体" w:hAnsi="宋体" w:eastAsia="宋体" w:cs="宋体"/>
                <w:sz w:val="22"/>
                <w:szCs w:val="21"/>
                <w:lang w:eastAsia="en-US"/>
              </w:rPr>
            </w:pPr>
            <w:r>
              <w:rPr>
                <w:rFonts w:hint="eastAsia" w:ascii="宋体" w:hAnsi="宋体" w:eastAsia="宋体" w:cs="宋体"/>
                <w:sz w:val="22"/>
                <w:szCs w:val="21"/>
                <w:lang w:eastAsia="en-US"/>
              </w:rPr>
              <w:t>服务名称</w:t>
            </w:r>
          </w:p>
        </w:tc>
        <w:tc>
          <w:tcPr>
            <w:tcW w:w="1161" w:type="dxa"/>
            <w:noWrap/>
            <w:vAlign w:val="center"/>
          </w:tcPr>
          <w:p w14:paraId="166A54BC">
            <w:pPr>
              <w:pStyle w:val="36"/>
              <w:spacing w:beforeAutospacing="0" w:afterAutospacing="0" w:line="0" w:lineRule="atLeast"/>
              <w:jc w:val="center"/>
              <w:rPr>
                <w:rFonts w:ascii="宋体" w:hAnsi="宋体" w:eastAsia="宋体" w:cs="宋体"/>
                <w:sz w:val="22"/>
                <w:szCs w:val="21"/>
                <w:lang w:eastAsia="en-US"/>
              </w:rPr>
            </w:pPr>
            <w:r>
              <w:rPr>
                <w:rFonts w:hint="eastAsia" w:ascii="宋体" w:hAnsi="宋体" w:eastAsia="宋体" w:cs="宋体"/>
                <w:sz w:val="22"/>
                <w:szCs w:val="21"/>
                <w:lang w:eastAsia="en-US"/>
              </w:rPr>
              <w:t>单位</w:t>
            </w:r>
          </w:p>
        </w:tc>
        <w:tc>
          <w:tcPr>
            <w:tcW w:w="1093" w:type="dxa"/>
            <w:noWrap/>
            <w:vAlign w:val="center"/>
          </w:tcPr>
          <w:p w14:paraId="004F9CC1">
            <w:pPr>
              <w:pStyle w:val="36"/>
              <w:spacing w:beforeAutospacing="0" w:afterAutospacing="0" w:line="0" w:lineRule="atLeast"/>
              <w:jc w:val="center"/>
              <w:rPr>
                <w:rFonts w:ascii="宋体" w:hAnsi="宋体" w:eastAsia="宋体" w:cs="宋体"/>
                <w:sz w:val="22"/>
                <w:szCs w:val="21"/>
                <w:lang w:eastAsia="en-US"/>
              </w:rPr>
            </w:pPr>
            <w:r>
              <w:rPr>
                <w:rFonts w:hint="eastAsia" w:ascii="宋体" w:hAnsi="宋体" w:eastAsia="宋体" w:cs="宋体"/>
                <w:sz w:val="22"/>
                <w:szCs w:val="21"/>
                <w:lang w:eastAsia="en-US"/>
              </w:rPr>
              <w:t>数量</w:t>
            </w:r>
          </w:p>
        </w:tc>
        <w:tc>
          <w:tcPr>
            <w:tcW w:w="1387" w:type="dxa"/>
            <w:noWrap/>
            <w:vAlign w:val="center"/>
          </w:tcPr>
          <w:p w14:paraId="495E4846">
            <w:pPr>
              <w:pStyle w:val="36"/>
              <w:spacing w:beforeAutospacing="0" w:afterAutospacing="0" w:line="0" w:lineRule="atLeast"/>
              <w:jc w:val="center"/>
              <w:rPr>
                <w:rFonts w:ascii="宋体" w:hAnsi="宋体" w:eastAsia="宋体" w:cs="宋体"/>
                <w:sz w:val="22"/>
                <w:szCs w:val="21"/>
                <w:lang w:eastAsia="en-US"/>
              </w:rPr>
            </w:pPr>
            <w:r>
              <w:rPr>
                <w:rFonts w:hint="eastAsia" w:ascii="宋体" w:hAnsi="宋体" w:eastAsia="宋体" w:cs="宋体"/>
                <w:sz w:val="22"/>
                <w:szCs w:val="21"/>
                <w:lang w:eastAsia="en-US"/>
              </w:rPr>
              <w:t>单价</w:t>
            </w:r>
          </w:p>
        </w:tc>
        <w:tc>
          <w:tcPr>
            <w:tcW w:w="2017" w:type="dxa"/>
            <w:noWrap/>
            <w:vAlign w:val="center"/>
          </w:tcPr>
          <w:p w14:paraId="31AF1FFE">
            <w:pPr>
              <w:pStyle w:val="36"/>
              <w:spacing w:beforeAutospacing="0" w:afterAutospacing="0" w:line="0" w:lineRule="atLeast"/>
              <w:jc w:val="center"/>
              <w:rPr>
                <w:rFonts w:ascii="宋体" w:hAnsi="宋体" w:eastAsia="宋体" w:cs="宋体"/>
                <w:sz w:val="22"/>
                <w:szCs w:val="21"/>
                <w:lang w:eastAsia="en-US"/>
              </w:rPr>
            </w:pPr>
            <w:r>
              <w:rPr>
                <w:rFonts w:hint="eastAsia" w:ascii="宋体" w:hAnsi="宋体" w:eastAsia="宋体" w:cs="宋体"/>
                <w:sz w:val="22"/>
                <w:szCs w:val="21"/>
                <w:lang w:eastAsia="en-US"/>
              </w:rPr>
              <w:t>总价</w:t>
            </w:r>
          </w:p>
        </w:tc>
      </w:tr>
      <w:tr w14:paraId="2F5E6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97" w:hRule="atLeast"/>
        </w:trPr>
        <w:tc>
          <w:tcPr>
            <w:tcW w:w="784" w:type="dxa"/>
            <w:noWrap/>
            <w:vAlign w:val="center"/>
          </w:tcPr>
          <w:p w14:paraId="3D5451C4">
            <w:pPr>
              <w:spacing w:line="400" w:lineRule="exact"/>
              <w:jc w:val="center"/>
              <w:rPr>
                <w:rFonts w:ascii="宋体" w:hAnsi="宋体" w:eastAsia="宋体" w:cs="宋体"/>
                <w:szCs w:val="21"/>
              </w:rPr>
            </w:pPr>
            <w:r>
              <w:rPr>
                <w:rFonts w:hint="eastAsia" w:ascii="宋体" w:hAnsi="宋体" w:eastAsia="宋体" w:cs="宋体"/>
                <w:szCs w:val="21"/>
              </w:rPr>
              <w:t>1</w:t>
            </w:r>
          </w:p>
        </w:tc>
        <w:tc>
          <w:tcPr>
            <w:tcW w:w="2634" w:type="dxa"/>
            <w:noWrap/>
            <w:vAlign w:val="center"/>
          </w:tcPr>
          <w:p w14:paraId="78E50900">
            <w:pPr>
              <w:spacing w:line="400" w:lineRule="exact"/>
              <w:jc w:val="center"/>
              <w:rPr>
                <w:rFonts w:ascii="宋体" w:hAnsi="宋体" w:eastAsia="宋体" w:cs="宋体"/>
                <w:szCs w:val="21"/>
              </w:rPr>
            </w:pPr>
          </w:p>
        </w:tc>
        <w:tc>
          <w:tcPr>
            <w:tcW w:w="1161" w:type="dxa"/>
            <w:noWrap/>
            <w:vAlign w:val="center"/>
          </w:tcPr>
          <w:p w14:paraId="5216B480">
            <w:pPr>
              <w:spacing w:line="400" w:lineRule="exact"/>
              <w:jc w:val="center"/>
              <w:rPr>
                <w:rFonts w:ascii="宋体" w:hAnsi="宋体" w:eastAsia="宋体" w:cs="宋体"/>
                <w:szCs w:val="21"/>
              </w:rPr>
            </w:pPr>
          </w:p>
        </w:tc>
        <w:tc>
          <w:tcPr>
            <w:tcW w:w="1093" w:type="dxa"/>
            <w:noWrap/>
            <w:vAlign w:val="center"/>
          </w:tcPr>
          <w:p w14:paraId="51D5D218">
            <w:pPr>
              <w:spacing w:line="400" w:lineRule="exact"/>
              <w:jc w:val="center"/>
              <w:rPr>
                <w:rFonts w:ascii="宋体" w:hAnsi="宋体" w:eastAsia="宋体" w:cs="宋体"/>
                <w:b/>
                <w:bCs/>
                <w:szCs w:val="21"/>
              </w:rPr>
            </w:pPr>
          </w:p>
        </w:tc>
        <w:tc>
          <w:tcPr>
            <w:tcW w:w="1387" w:type="dxa"/>
            <w:noWrap/>
            <w:vAlign w:val="center"/>
          </w:tcPr>
          <w:p w14:paraId="74852A2E">
            <w:pPr>
              <w:spacing w:line="400" w:lineRule="exact"/>
              <w:jc w:val="center"/>
              <w:rPr>
                <w:rFonts w:ascii="宋体" w:hAnsi="宋体" w:eastAsia="宋体" w:cs="宋体"/>
                <w:b/>
                <w:bCs/>
                <w:szCs w:val="21"/>
              </w:rPr>
            </w:pPr>
          </w:p>
        </w:tc>
        <w:tc>
          <w:tcPr>
            <w:tcW w:w="2017" w:type="dxa"/>
            <w:noWrap/>
            <w:vAlign w:val="center"/>
          </w:tcPr>
          <w:p w14:paraId="6D1A2377">
            <w:pPr>
              <w:spacing w:line="400" w:lineRule="exact"/>
              <w:jc w:val="center"/>
              <w:rPr>
                <w:rFonts w:ascii="宋体" w:hAnsi="宋体" w:eastAsia="宋体" w:cs="宋体"/>
                <w:sz w:val="18"/>
                <w:szCs w:val="18"/>
              </w:rPr>
            </w:pPr>
          </w:p>
        </w:tc>
      </w:tr>
      <w:tr w14:paraId="62701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00" w:hRule="atLeast"/>
        </w:trPr>
        <w:tc>
          <w:tcPr>
            <w:tcW w:w="5672" w:type="dxa"/>
            <w:gridSpan w:val="4"/>
            <w:noWrap/>
            <w:vAlign w:val="center"/>
          </w:tcPr>
          <w:p w14:paraId="402EC036">
            <w:pPr>
              <w:spacing w:line="400" w:lineRule="exact"/>
              <w:jc w:val="right"/>
              <w:rPr>
                <w:rFonts w:ascii="宋体" w:hAnsi="宋体" w:eastAsia="宋体" w:cs="宋体"/>
                <w:szCs w:val="21"/>
              </w:rPr>
            </w:pPr>
            <w:r>
              <w:rPr>
                <w:rFonts w:hint="eastAsia" w:ascii="宋体" w:hAnsi="宋体" w:eastAsia="宋体" w:cs="宋体"/>
                <w:szCs w:val="21"/>
              </w:rPr>
              <w:t>合计（元）</w:t>
            </w:r>
          </w:p>
        </w:tc>
        <w:tc>
          <w:tcPr>
            <w:tcW w:w="1387" w:type="dxa"/>
            <w:noWrap/>
            <w:vAlign w:val="center"/>
          </w:tcPr>
          <w:p w14:paraId="411CB51C">
            <w:pPr>
              <w:spacing w:line="400" w:lineRule="exact"/>
              <w:jc w:val="center"/>
              <w:rPr>
                <w:rFonts w:ascii="宋体" w:hAnsi="宋体" w:eastAsia="宋体" w:cs="宋体"/>
                <w:szCs w:val="21"/>
              </w:rPr>
            </w:pPr>
          </w:p>
        </w:tc>
        <w:tc>
          <w:tcPr>
            <w:tcW w:w="2017" w:type="dxa"/>
            <w:noWrap/>
            <w:vAlign w:val="center"/>
          </w:tcPr>
          <w:p w14:paraId="2670E064">
            <w:pPr>
              <w:spacing w:line="400" w:lineRule="exact"/>
              <w:jc w:val="center"/>
              <w:rPr>
                <w:rFonts w:ascii="宋体" w:hAnsi="宋体" w:eastAsia="宋体" w:cs="宋体"/>
                <w:szCs w:val="21"/>
              </w:rPr>
            </w:pPr>
          </w:p>
        </w:tc>
      </w:tr>
      <w:tr w14:paraId="114CB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133" w:hRule="atLeast"/>
        </w:trPr>
        <w:tc>
          <w:tcPr>
            <w:tcW w:w="9076" w:type="dxa"/>
            <w:gridSpan w:val="6"/>
            <w:noWrap/>
            <w:vAlign w:val="center"/>
          </w:tcPr>
          <w:p w14:paraId="185B560D">
            <w:pPr>
              <w:pStyle w:val="16"/>
              <w:spacing w:after="0"/>
              <w:rPr>
                <w:rFonts w:ascii="宋体" w:hAnsi="宋体" w:eastAsia="宋体" w:cs="宋体"/>
              </w:rPr>
            </w:pPr>
          </w:p>
          <w:p w14:paraId="724E9730">
            <w:pPr>
              <w:spacing w:line="400" w:lineRule="exact"/>
              <w:ind w:left="3998"/>
              <w:rPr>
                <w:rFonts w:ascii="宋体" w:hAnsi="宋体" w:eastAsia="宋体" w:cs="宋体"/>
              </w:rPr>
            </w:pPr>
            <w:r>
              <w:rPr>
                <w:rFonts w:hint="eastAsia" w:ascii="宋体" w:hAnsi="宋体" w:eastAsia="宋体" w:cs="宋体"/>
              </w:rPr>
              <w:t>投标人</w:t>
            </w:r>
            <w:r>
              <w:rPr>
                <w:rFonts w:hint="eastAsia"/>
                <w:color w:val="auto"/>
                <w:highlight w:val="none"/>
                <w:lang w:bidi="ar"/>
              </w:rPr>
              <w:t>（</w:t>
            </w:r>
            <w:r>
              <w:rPr>
                <w:rFonts w:hint="eastAsia"/>
                <w:color w:val="auto"/>
                <w:highlight w:val="none"/>
              </w:rPr>
              <w:t>加盖CA电子签章</w:t>
            </w:r>
            <w:r>
              <w:rPr>
                <w:rFonts w:hint="eastAsia"/>
                <w:color w:val="auto"/>
                <w:highlight w:val="none"/>
                <w:lang w:bidi="ar"/>
              </w:rPr>
              <w:t>）</w:t>
            </w:r>
            <w:r>
              <w:rPr>
                <w:rFonts w:hint="eastAsia" w:ascii="宋体" w:hAnsi="宋体" w:eastAsia="宋体" w:cs="宋体"/>
              </w:rPr>
              <w:t>：</w:t>
            </w:r>
          </w:p>
          <w:p w14:paraId="06814950">
            <w:pPr>
              <w:spacing w:line="400" w:lineRule="exact"/>
              <w:ind w:left="3998"/>
              <w:rPr>
                <w:rFonts w:ascii="宋体" w:hAnsi="宋体" w:eastAsia="宋体" w:cs="宋体"/>
              </w:rPr>
            </w:pPr>
            <w:r>
              <w:rPr>
                <w:rFonts w:hint="eastAsia" w:ascii="宋体" w:hAnsi="宋体" w:eastAsia="宋体" w:cs="宋体"/>
              </w:rPr>
              <w:t>法定代表人或授权代表（签字或盖章）</w:t>
            </w:r>
          </w:p>
          <w:p w14:paraId="325E3937">
            <w:pPr>
              <w:spacing w:line="400" w:lineRule="exact"/>
              <w:ind w:left="3998"/>
              <w:rPr>
                <w:rFonts w:ascii="宋体" w:hAnsi="宋体" w:eastAsia="宋体" w:cs="宋体"/>
              </w:rPr>
            </w:pPr>
            <w:r>
              <w:rPr>
                <w:rFonts w:hint="eastAsia" w:ascii="宋体" w:hAnsi="宋体" w:eastAsia="宋体" w:cs="宋体"/>
              </w:rPr>
              <w:t>日期：      年    月    日</w:t>
            </w:r>
          </w:p>
          <w:p w14:paraId="1941CB6A">
            <w:pPr>
              <w:pStyle w:val="47"/>
              <w:rPr>
                <w:rFonts w:ascii="宋体" w:hAnsi="宋体" w:eastAsia="宋体" w:cs="宋体"/>
                <w:color w:val="auto"/>
              </w:rPr>
            </w:pPr>
          </w:p>
        </w:tc>
      </w:tr>
      <w:tr w14:paraId="0F2D0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070" w:hRule="atLeast"/>
        </w:trPr>
        <w:tc>
          <w:tcPr>
            <w:tcW w:w="9076" w:type="dxa"/>
            <w:gridSpan w:val="6"/>
            <w:noWrap/>
            <w:vAlign w:val="center"/>
          </w:tcPr>
          <w:p w14:paraId="5E955F11">
            <w:pPr>
              <w:rPr>
                <w:rFonts w:ascii="宋体" w:hAnsi="宋体" w:eastAsia="宋体" w:cs="宋体"/>
              </w:rPr>
            </w:pPr>
            <w:r>
              <w:rPr>
                <w:rFonts w:hint="eastAsia" w:ascii="宋体" w:hAnsi="宋体" w:eastAsia="宋体" w:cs="宋体"/>
              </w:rPr>
              <w:t>★说明：1、投标报价费用为1年度费用。</w:t>
            </w:r>
          </w:p>
          <w:p w14:paraId="43E4051F">
            <w:pPr>
              <w:rPr>
                <w:rFonts w:ascii="宋体" w:hAnsi="宋体" w:eastAsia="宋体" w:cs="宋体"/>
              </w:rPr>
            </w:pPr>
            <w:r>
              <w:rPr>
                <w:rFonts w:hint="eastAsia" w:ascii="宋体" w:hAnsi="宋体" w:eastAsia="宋体" w:cs="宋体"/>
              </w:rPr>
              <w:t>2、投标人需按照采购文件的需求如实、详细表述，以便评委认知。</w:t>
            </w:r>
          </w:p>
        </w:tc>
      </w:tr>
    </w:tbl>
    <w:p w14:paraId="205170D1">
      <w:pPr>
        <w:pBdr>
          <w:top w:val="none" w:color="000000" w:sz="0" w:space="0"/>
          <w:left w:val="none" w:color="000000" w:sz="0" w:space="0"/>
          <w:bottom w:val="none" w:color="000000" w:sz="0" w:space="0"/>
          <w:right w:val="none" w:color="000000" w:sz="0" w:space="0"/>
        </w:pBdr>
        <w:spacing w:before="100" w:after="100" w:line="312" w:lineRule="atLeast"/>
        <w:ind w:left="0" w:right="0" w:firstLine="480"/>
        <w:jc w:val="both"/>
        <w:rPr>
          <w:rFonts w:ascii="宋体" w:hAnsi="宋体" w:eastAsia="宋体" w:cs="宋体"/>
          <w:color w:val="auto"/>
          <w:sz w:val="24"/>
          <w:highlight w:val="none"/>
        </w:rPr>
      </w:pPr>
    </w:p>
    <w:p w14:paraId="1A666C2D">
      <w:pPr>
        <w:pStyle w:val="36"/>
        <w:spacing w:beforeAutospacing="0" w:afterAutospacing="0"/>
        <w:jc w:val="center"/>
        <w:rPr>
          <w:rFonts w:hint="eastAsia" w:asciiTheme="minorEastAsia" w:hAnsiTheme="minorEastAsia" w:eastAsiaTheme="minorEastAsia" w:cstheme="minorEastAsia"/>
          <w:b/>
          <w:color w:val="auto"/>
          <w:sz w:val="32"/>
          <w:szCs w:val="32"/>
          <w:highlight w:val="none"/>
        </w:rPr>
      </w:pPr>
    </w:p>
    <w:p w14:paraId="38A586C8">
      <w:pPr>
        <w:pStyle w:val="38"/>
        <w:ind w:left="0" w:leftChars="0" w:firstLine="0" w:firstLineChars="0"/>
        <w:rPr>
          <w:rFonts w:hint="eastAsia" w:eastAsia="宋体"/>
          <w:color w:val="auto"/>
          <w:highlight w:val="none"/>
          <w:lang w:val="en-US" w:eastAsia="zh-CN"/>
        </w:rPr>
      </w:pPr>
    </w:p>
    <w:p w14:paraId="523C7F29">
      <w:pPr>
        <w:pStyle w:val="38"/>
        <w:ind w:left="0" w:leftChars="0" w:firstLine="0" w:firstLineChars="0"/>
        <w:rPr>
          <w:rFonts w:hint="eastAsia" w:eastAsia="宋体"/>
          <w:color w:val="auto"/>
          <w:highlight w:val="none"/>
          <w:lang w:val="en-US" w:eastAsia="zh-CN"/>
        </w:rPr>
      </w:pPr>
    </w:p>
    <w:p w14:paraId="79F7DC85">
      <w:pPr>
        <w:pStyle w:val="38"/>
        <w:ind w:left="0" w:leftChars="0" w:firstLine="0" w:firstLineChars="0"/>
        <w:rPr>
          <w:rFonts w:hint="eastAsia" w:eastAsia="宋体"/>
          <w:color w:val="auto"/>
          <w:highlight w:val="none"/>
          <w:lang w:val="en-US" w:eastAsia="zh-CN"/>
        </w:rPr>
      </w:pPr>
    </w:p>
    <w:p w14:paraId="28310215">
      <w:pPr>
        <w:pStyle w:val="38"/>
        <w:ind w:left="0" w:leftChars="0" w:firstLine="0" w:firstLineChars="0"/>
        <w:rPr>
          <w:rFonts w:hint="eastAsia" w:eastAsia="宋体"/>
          <w:color w:val="auto"/>
          <w:highlight w:val="none"/>
          <w:lang w:val="en-US" w:eastAsia="zh-CN"/>
        </w:rPr>
      </w:pPr>
    </w:p>
    <w:p w14:paraId="3050CE00">
      <w:pPr>
        <w:pStyle w:val="32"/>
        <w:rPr>
          <w:rFonts w:hint="eastAsia" w:eastAsia="宋体"/>
          <w:color w:val="auto"/>
          <w:highlight w:val="none"/>
          <w:lang w:val="en-US" w:eastAsia="zh-CN"/>
        </w:rPr>
      </w:pPr>
    </w:p>
    <w:p w14:paraId="7866627C">
      <w:pPr>
        <w:rPr>
          <w:rFonts w:hint="eastAsia" w:eastAsia="宋体"/>
          <w:color w:val="auto"/>
          <w:highlight w:val="none"/>
          <w:lang w:val="en-US" w:eastAsia="zh-CN"/>
        </w:rPr>
      </w:pPr>
    </w:p>
    <w:p w14:paraId="0E728155">
      <w:pPr>
        <w:pStyle w:val="38"/>
        <w:rPr>
          <w:rFonts w:hint="eastAsia" w:eastAsia="宋体"/>
          <w:color w:val="auto"/>
          <w:highlight w:val="none"/>
          <w:lang w:val="en-US" w:eastAsia="zh-CN"/>
        </w:rPr>
      </w:pPr>
    </w:p>
    <w:p w14:paraId="751FCC50">
      <w:pPr>
        <w:pStyle w:val="32"/>
        <w:rPr>
          <w:rFonts w:hint="eastAsia" w:eastAsia="宋体"/>
          <w:color w:val="auto"/>
          <w:highlight w:val="none"/>
          <w:lang w:val="en-US" w:eastAsia="zh-CN"/>
        </w:rPr>
      </w:pPr>
    </w:p>
    <w:p w14:paraId="2CC3A353">
      <w:pPr>
        <w:rPr>
          <w:rFonts w:hint="eastAsia" w:eastAsia="宋体"/>
          <w:color w:val="auto"/>
          <w:highlight w:val="none"/>
          <w:lang w:val="en-US" w:eastAsia="zh-CN"/>
        </w:rPr>
      </w:pPr>
    </w:p>
    <w:p w14:paraId="3BF2DEE9">
      <w:pPr>
        <w:pStyle w:val="38"/>
        <w:rPr>
          <w:rFonts w:hint="eastAsia"/>
          <w:color w:val="auto"/>
          <w:highlight w:val="none"/>
          <w:lang w:val="en-US" w:eastAsia="zh-CN"/>
        </w:rPr>
      </w:pPr>
    </w:p>
    <w:p w14:paraId="1F67D667">
      <w:pPr>
        <w:pStyle w:val="32"/>
        <w:rPr>
          <w:rFonts w:hint="eastAsia"/>
          <w:color w:val="auto"/>
          <w:highlight w:val="none"/>
          <w:lang w:val="en-US" w:eastAsia="zh-CN"/>
        </w:rPr>
      </w:pPr>
    </w:p>
    <w:p w14:paraId="785C0A45">
      <w:pPr>
        <w:rPr>
          <w:rFonts w:hint="eastAsia"/>
          <w:color w:val="auto"/>
          <w:highlight w:val="none"/>
          <w:lang w:val="en-US" w:eastAsia="zh-CN"/>
        </w:rPr>
      </w:pPr>
    </w:p>
    <w:p w14:paraId="2B4E8E3D">
      <w:pPr>
        <w:pStyle w:val="32"/>
        <w:rPr>
          <w:rFonts w:hint="eastAsia" w:eastAsia="宋体"/>
          <w:color w:val="auto"/>
          <w:highlight w:val="none"/>
          <w:lang w:val="en-US" w:eastAsia="zh-CN"/>
        </w:rPr>
      </w:pPr>
    </w:p>
    <w:p w14:paraId="357D6CC0">
      <w:pPr>
        <w:pStyle w:val="36"/>
        <w:spacing w:beforeAutospacing="0" w:afterAutospacing="0"/>
        <w:jc w:val="both"/>
        <w:rPr>
          <w:rFonts w:hint="eastAsia" w:asciiTheme="minorEastAsia" w:hAnsiTheme="minorEastAsia" w:eastAsiaTheme="minorEastAsia" w:cstheme="minorEastAsia"/>
          <w:b/>
          <w:color w:val="auto"/>
          <w:sz w:val="32"/>
          <w:szCs w:val="32"/>
          <w:highlight w:val="none"/>
        </w:rPr>
      </w:pPr>
    </w:p>
    <w:p w14:paraId="241A7404">
      <w:pPr>
        <w:pStyle w:val="36"/>
        <w:spacing w:beforeAutospacing="0" w:afterAutospacing="0"/>
        <w:jc w:val="center"/>
        <w:rPr>
          <w:rFonts w:hint="eastAsia" w:asciiTheme="minorEastAsia" w:hAnsiTheme="minorEastAsia" w:eastAsiaTheme="minorEastAsia" w:cstheme="minorEastAsia"/>
          <w:b/>
          <w:color w:val="auto"/>
          <w:sz w:val="32"/>
          <w:szCs w:val="32"/>
          <w:highlight w:val="none"/>
        </w:rPr>
      </w:pPr>
    </w:p>
    <w:p w14:paraId="1A010375">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十</w:t>
      </w:r>
      <w:r>
        <w:rPr>
          <w:rFonts w:hint="eastAsia" w:asciiTheme="minorEastAsia" w:hAnsiTheme="minorEastAsia" w:cstheme="minorEastAsia"/>
          <w:b/>
          <w:color w:val="auto"/>
          <w:sz w:val="32"/>
          <w:szCs w:val="32"/>
          <w:highlight w:val="none"/>
          <w:lang w:val="en-US" w:eastAsia="zh-CN"/>
        </w:rPr>
        <w:t>二</w:t>
      </w:r>
      <w:r>
        <w:rPr>
          <w:rFonts w:hint="eastAsia" w:asciiTheme="minorEastAsia" w:hAnsiTheme="minorEastAsia" w:eastAsiaTheme="minorEastAsia" w:cstheme="minorEastAsia"/>
          <w:b/>
          <w:color w:val="auto"/>
          <w:sz w:val="32"/>
          <w:szCs w:val="32"/>
          <w:highlight w:val="none"/>
        </w:rPr>
        <w:t>、技术要求响应及偏离表</w:t>
      </w:r>
    </w:p>
    <w:tbl>
      <w:tblPr>
        <w:tblStyle w:val="40"/>
        <w:tblW w:w="10006" w:type="dxa"/>
        <w:tblCellSpacing w:w="0" w:type="dxa"/>
        <w:tblInd w:w="10" w:type="dxa"/>
        <w:tblLayout w:type="fixed"/>
        <w:tblCellMar>
          <w:top w:w="0" w:type="dxa"/>
          <w:left w:w="108" w:type="dxa"/>
          <w:bottom w:w="0" w:type="dxa"/>
          <w:right w:w="108" w:type="dxa"/>
        </w:tblCellMar>
      </w:tblPr>
      <w:tblGrid>
        <w:gridCol w:w="538"/>
        <w:gridCol w:w="3026"/>
        <w:gridCol w:w="2608"/>
        <w:gridCol w:w="2379"/>
        <w:gridCol w:w="1455"/>
      </w:tblGrid>
      <w:tr w14:paraId="52FD3C81">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409329">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F60CD7">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1F65CC">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投标响应情况</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3F599A">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超出、符合或偏离</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10DD52">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证明</w:t>
            </w:r>
          </w:p>
          <w:p w14:paraId="7D716B44">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材料</w:t>
            </w:r>
          </w:p>
        </w:tc>
      </w:tr>
      <w:tr w14:paraId="7C40445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C2C8EF">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86C0F4">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285C3E">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414F4A">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FC0986">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747DCC6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ECC2B2">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053C86">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1B1765">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67C808">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9879C7">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4364FE9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01DCA7">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467ECD">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35C063">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97AC02">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35936F">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2F8FD59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34248B">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B3C4C0">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5710AF">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1A2A62">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551BA6">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78FE042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6118C9">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83F043">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03C73B">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8EB44A">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ED2D84">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12AECB9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5903AA">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7C9EB3">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2CDA1C">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92A2BB">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F71AB6">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0CA8FCF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09B682">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3FB575">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8B53A3">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F231FF">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60126A">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59F197F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F69E24">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397E3B">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718A7C">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FFD0F5">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7388FE">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bl>
    <w:p w14:paraId="329557B1">
      <w:pPr>
        <w:pStyle w:val="36"/>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 行数不够，可自行添加。</w:t>
      </w:r>
    </w:p>
    <w:p w14:paraId="63B3911E">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15394AA0">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FF3707F">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760AEB4">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3AEFF4D6">
      <w:pPr>
        <w:pStyle w:val="36"/>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73015E53">
      <w:pPr>
        <w:pStyle w:val="36"/>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317D6BD5">
      <w:pPr>
        <w:pStyle w:val="36"/>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73641993">
      <w:pPr>
        <w:pStyle w:val="36"/>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D400100">
      <w:pPr>
        <w:pStyle w:val="36"/>
        <w:spacing w:beforeAutospacing="0" w:afterAutospacing="0"/>
        <w:jc w:val="both"/>
        <w:rPr>
          <w:rFonts w:hint="eastAsia" w:asciiTheme="minorEastAsia" w:hAnsiTheme="minorEastAsia" w:eastAsiaTheme="minorEastAsia" w:cstheme="minorEastAsia"/>
          <w:color w:val="auto"/>
          <w:highlight w:val="none"/>
        </w:rPr>
      </w:pPr>
    </w:p>
    <w:p w14:paraId="3F5274CB">
      <w:pPr>
        <w:pStyle w:val="36"/>
        <w:spacing w:beforeAutospacing="0" w:afterAutospacing="0"/>
        <w:jc w:val="both"/>
        <w:rPr>
          <w:rFonts w:hint="eastAsia" w:asciiTheme="minorEastAsia" w:hAnsiTheme="minorEastAsia" w:eastAsiaTheme="minorEastAsia" w:cstheme="minorEastAsia"/>
          <w:color w:val="auto"/>
          <w:highlight w:val="none"/>
        </w:rPr>
      </w:pPr>
    </w:p>
    <w:p w14:paraId="42E99EBE">
      <w:pPr>
        <w:pStyle w:val="36"/>
        <w:spacing w:beforeAutospacing="0" w:afterAutospacing="0"/>
        <w:jc w:val="both"/>
        <w:rPr>
          <w:rFonts w:hint="eastAsia" w:asciiTheme="minorEastAsia" w:hAnsiTheme="minorEastAsia" w:eastAsiaTheme="minorEastAsia" w:cstheme="minorEastAsia"/>
          <w:color w:val="auto"/>
          <w:highlight w:val="none"/>
        </w:rPr>
      </w:pPr>
    </w:p>
    <w:p w14:paraId="56111365">
      <w:pPr>
        <w:pStyle w:val="36"/>
        <w:spacing w:beforeAutospacing="0" w:afterAutospacing="0"/>
        <w:jc w:val="both"/>
        <w:rPr>
          <w:rFonts w:hint="eastAsia" w:asciiTheme="minorEastAsia" w:hAnsiTheme="minorEastAsia" w:eastAsiaTheme="minorEastAsia" w:cstheme="minorEastAsia"/>
          <w:color w:val="auto"/>
          <w:highlight w:val="none"/>
        </w:rPr>
      </w:pPr>
    </w:p>
    <w:p w14:paraId="6CD183BC">
      <w:pPr>
        <w:pStyle w:val="36"/>
        <w:spacing w:beforeAutospacing="0" w:afterAutospacing="0"/>
        <w:jc w:val="both"/>
        <w:rPr>
          <w:rFonts w:hint="eastAsia" w:asciiTheme="minorEastAsia" w:hAnsiTheme="minorEastAsia" w:eastAsiaTheme="minorEastAsia" w:cstheme="minorEastAsia"/>
          <w:color w:val="auto"/>
          <w:highlight w:val="none"/>
        </w:rPr>
      </w:pPr>
    </w:p>
    <w:p w14:paraId="36AA2D62">
      <w:pPr>
        <w:pStyle w:val="36"/>
        <w:spacing w:beforeAutospacing="0" w:afterAutospacing="0"/>
        <w:jc w:val="both"/>
        <w:rPr>
          <w:rFonts w:hint="eastAsia" w:asciiTheme="minorEastAsia" w:hAnsiTheme="minorEastAsia" w:eastAsiaTheme="minorEastAsia" w:cstheme="minorEastAsia"/>
          <w:color w:val="auto"/>
          <w:highlight w:val="none"/>
        </w:rPr>
      </w:pPr>
    </w:p>
    <w:p w14:paraId="79D96EB3">
      <w:pPr>
        <w:pStyle w:val="36"/>
        <w:spacing w:beforeAutospacing="0" w:afterAutospacing="0"/>
        <w:jc w:val="both"/>
        <w:rPr>
          <w:rFonts w:hint="eastAsia" w:asciiTheme="minorEastAsia" w:hAnsiTheme="minorEastAsia" w:eastAsiaTheme="minorEastAsia" w:cstheme="minorEastAsia"/>
          <w:color w:val="auto"/>
          <w:highlight w:val="none"/>
        </w:rPr>
      </w:pPr>
    </w:p>
    <w:p w14:paraId="003FD329">
      <w:pPr>
        <w:pStyle w:val="36"/>
        <w:spacing w:beforeAutospacing="0" w:afterAutospacing="0"/>
        <w:jc w:val="both"/>
        <w:rPr>
          <w:rFonts w:hint="eastAsia" w:asciiTheme="minorEastAsia" w:hAnsiTheme="minorEastAsia" w:eastAsiaTheme="minorEastAsia" w:cstheme="minorEastAsia"/>
          <w:color w:val="auto"/>
          <w:highlight w:val="none"/>
        </w:rPr>
      </w:pPr>
    </w:p>
    <w:p w14:paraId="2BAA503C">
      <w:pPr>
        <w:pStyle w:val="36"/>
        <w:spacing w:beforeAutospacing="0" w:afterAutospacing="0"/>
        <w:jc w:val="both"/>
        <w:rPr>
          <w:rFonts w:hint="default" w:eastAsia="宋体" w:asciiTheme="minorEastAsia" w:hAnsiTheme="minorEastAsia" w:cstheme="minorEastAsia"/>
          <w:color w:val="auto"/>
          <w:highlight w:val="none"/>
          <w:lang w:val="en-US" w:eastAsia="zh-CN"/>
        </w:rPr>
      </w:pPr>
    </w:p>
    <w:p w14:paraId="78838AA4">
      <w:pPr>
        <w:pStyle w:val="36"/>
        <w:spacing w:beforeAutospacing="0" w:afterAutospacing="0"/>
        <w:jc w:val="both"/>
        <w:rPr>
          <w:rFonts w:hint="eastAsia" w:asciiTheme="minorEastAsia" w:hAnsiTheme="minorEastAsia" w:eastAsiaTheme="minorEastAsia" w:cstheme="minorEastAsia"/>
          <w:color w:val="auto"/>
          <w:highlight w:val="none"/>
        </w:rPr>
      </w:pPr>
    </w:p>
    <w:p w14:paraId="1A9726F5">
      <w:pPr>
        <w:pStyle w:val="36"/>
        <w:spacing w:beforeAutospacing="0" w:afterAutospacing="0"/>
        <w:jc w:val="both"/>
        <w:rPr>
          <w:rFonts w:hint="eastAsia" w:asciiTheme="minorEastAsia" w:hAnsiTheme="minorEastAsia" w:eastAsiaTheme="minorEastAsia" w:cstheme="minorEastAsia"/>
          <w:color w:val="auto"/>
          <w:highlight w:val="none"/>
        </w:rPr>
      </w:pPr>
    </w:p>
    <w:p w14:paraId="5B4C590B">
      <w:pPr>
        <w:pStyle w:val="36"/>
        <w:spacing w:beforeAutospacing="0" w:afterAutospacing="0"/>
        <w:jc w:val="both"/>
        <w:rPr>
          <w:rFonts w:hint="eastAsia" w:asciiTheme="minorEastAsia" w:hAnsiTheme="minorEastAsia" w:eastAsiaTheme="minorEastAsia" w:cstheme="minorEastAsia"/>
          <w:color w:val="auto"/>
          <w:highlight w:val="none"/>
        </w:rPr>
      </w:pPr>
    </w:p>
    <w:p w14:paraId="7365E49B">
      <w:pPr>
        <w:pStyle w:val="36"/>
        <w:spacing w:beforeAutospacing="0" w:afterAutospacing="0"/>
        <w:jc w:val="both"/>
        <w:rPr>
          <w:rFonts w:hint="eastAsia" w:asciiTheme="minorEastAsia" w:hAnsiTheme="minorEastAsia" w:eastAsiaTheme="minorEastAsia" w:cstheme="minorEastAsia"/>
          <w:color w:val="auto"/>
          <w:highlight w:val="none"/>
        </w:rPr>
      </w:pPr>
    </w:p>
    <w:p w14:paraId="38BC45FD">
      <w:pPr>
        <w:pStyle w:val="36"/>
        <w:spacing w:beforeAutospacing="0" w:afterAutospacing="0"/>
        <w:jc w:val="both"/>
        <w:rPr>
          <w:rFonts w:hint="eastAsia" w:asciiTheme="minorEastAsia" w:hAnsiTheme="minorEastAsia" w:eastAsiaTheme="minorEastAsia" w:cstheme="minorEastAsia"/>
          <w:color w:val="auto"/>
          <w:highlight w:val="none"/>
        </w:rPr>
      </w:pPr>
    </w:p>
    <w:p w14:paraId="1ED34D50">
      <w:pPr>
        <w:pStyle w:val="36"/>
        <w:spacing w:beforeAutospacing="0" w:afterAutospacing="0"/>
        <w:jc w:val="both"/>
        <w:rPr>
          <w:rFonts w:hint="eastAsia" w:asciiTheme="minorEastAsia" w:hAnsiTheme="minorEastAsia" w:eastAsiaTheme="minorEastAsia" w:cstheme="minorEastAsia"/>
          <w:color w:val="auto"/>
          <w:highlight w:val="none"/>
        </w:rPr>
      </w:pPr>
    </w:p>
    <w:p w14:paraId="2931FCE0">
      <w:pPr>
        <w:pStyle w:val="36"/>
        <w:spacing w:beforeAutospacing="0" w:afterAutospacing="0"/>
        <w:jc w:val="both"/>
        <w:rPr>
          <w:rFonts w:hint="eastAsia" w:asciiTheme="minorEastAsia" w:hAnsiTheme="minorEastAsia" w:eastAsiaTheme="minorEastAsia" w:cstheme="minorEastAsia"/>
          <w:color w:val="auto"/>
          <w:highlight w:val="none"/>
        </w:rPr>
      </w:pPr>
    </w:p>
    <w:p w14:paraId="7297F651">
      <w:pPr>
        <w:pStyle w:val="36"/>
        <w:spacing w:beforeAutospacing="0" w:afterAutospacing="0"/>
        <w:jc w:val="both"/>
        <w:rPr>
          <w:rFonts w:hint="eastAsia" w:asciiTheme="minorEastAsia" w:hAnsiTheme="minorEastAsia" w:eastAsiaTheme="minorEastAsia" w:cstheme="minorEastAsia"/>
          <w:color w:val="auto"/>
          <w:highlight w:val="none"/>
        </w:rPr>
      </w:pPr>
    </w:p>
    <w:p w14:paraId="7C850C73">
      <w:pPr>
        <w:pStyle w:val="36"/>
        <w:spacing w:beforeAutospacing="0" w:afterAutospacing="0"/>
        <w:jc w:val="both"/>
        <w:rPr>
          <w:rFonts w:hint="eastAsia" w:asciiTheme="minorEastAsia" w:hAnsiTheme="minorEastAsia" w:eastAsiaTheme="minorEastAsia" w:cstheme="minorEastAsia"/>
          <w:color w:val="auto"/>
          <w:highlight w:val="none"/>
        </w:rPr>
      </w:pPr>
    </w:p>
    <w:p w14:paraId="603D3E08">
      <w:pPr>
        <w:pStyle w:val="36"/>
        <w:spacing w:beforeAutospacing="0" w:afterAutospacing="0"/>
        <w:jc w:val="both"/>
        <w:rPr>
          <w:rFonts w:hint="eastAsia" w:asciiTheme="minorEastAsia" w:hAnsiTheme="minorEastAsia" w:eastAsiaTheme="minorEastAsia" w:cstheme="minorEastAsia"/>
          <w:color w:val="auto"/>
          <w:highlight w:val="none"/>
        </w:rPr>
      </w:pPr>
    </w:p>
    <w:p w14:paraId="4E791158">
      <w:pPr>
        <w:pStyle w:val="36"/>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77272311">
      <w:pPr>
        <w:pStyle w:val="36"/>
        <w:spacing w:beforeAutospacing="0" w:afterAutospacing="0"/>
        <w:jc w:val="center"/>
        <w:rPr>
          <w:rFonts w:hint="eastAsia" w:asciiTheme="minorEastAsia" w:hAnsiTheme="minorEastAsia" w:eastAsiaTheme="minorEastAsia" w:cstheme="minorEastAsia"/>
          <w:b/>
          <w:color w:val="auto"/>
          <w:sz w:val="32"/>
          <w:szCs w:val="32"/>
          <w:highlight w:val="none"/>
        </w:rPr>
      </w:pPr>
      <w:bookmarkStart w:id="198" w:name="_Hlt26955054"/>
    </w:p>
    <w:p w14:paraId="54682DFD">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十</w:t>
      </w:r>
      <w:r>
        <w:rPr>
          <w:rFonts w:hint="eastAsia" w:asciiTheme="minorEastAsia" w:hAnsiTheme="minorEastAsia" w:cstheme="minorEastAsia"/>
          <w:b/>
          <w:color w:val="auto"/>
          <w:sz w:val="32"/>
          <w:szCs w:val="32"/>
          <w:highlight w:val="none"/>
          <w:lang w:val="en-US" w:eastAsia="zh-CN"/>
        </w:rPr>
        <w:t>三</w:t>
      </w:r>
      <w:r>
        <w:rPr>
          <w:rFonts w:hint="eastAsia" w:asciiTheme="minorEastAsia" w:hAnsiTheme="minorEastAsia" w:eastAsiaTheme="minorEastAsia" w:cstheme="minorEastAsia"/>
          <w:b/>
          <w:color w:val="auto"/>
          <w:sz w:val="32"/>
          <w:szCs w:val="32"/>
          <w:highlight w:val="none"/>
        </w:rPr>
        <w:t>、商务要求响应及偏离表</w:t>
      </w:r>
    </w:p>
    <w:tbl>
      <w:tblPr>
        <w:tblStyle w:val="40"/>
        <w:tblW w:w="10081" w:type="dxa"/>
        <w:tblCellSpacing w:w="0" w:type="dxa"/>
        <w:tblInd w:w="10" w:type="dxa"/>
        <w:tblLayout w:type="fixed"/>
        <w:tblCellMar>
          <w:top w:w="0" w:type="dxa"/>
          <w:left w:w="108" w:type="dxa"/>
          <w:bottom w:w="0" w:type="dxa"/>
          <w:right w:w="108" w:type="dxa"/>
        </w:tblCellMar>
      </w:tblPr>
      <w:tblGrid>
        <w:gridCol w:w="661"/>
        <w:gridCol w:w="2469"/>
        <w:gridCol w:w="2645"/>
        <w:gridCol w:w="2671"/>
        <w:gridCol w:w="1635"/>
      </w:tblGrid>
      <w:tr w14:paraId="0CFFE899">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0EE5BF">
            <w:pPr>
              <w:pStyle w:val="36"/>
              <w:spacing w:beforeAutospacing="0" w:afterAutospacing="0"/>
              <w:jc w:val="center"/>
              <w:rPr>
                <w:rFonts w:hint="eastAsia" w:asciiTheme="minorEastAsia" w:hAnsiTheme="minorEastAsia" w:eastAsiaTheme="minorEastAsia" w:cstheme="minorEastAsia"/>
                <w:color w:val="auto"/>
                <w:highlight w:val="none"/>
              </w:rPr>
            </w:pPr>
            <w:bookmarkStart w:id="199" w:name="_Hlt26609391"/>
            <w:bookmarkStart w:id="200" w:name="_Hlt26671343"/>
            <w:bookmarkStart w:id="201" w:name="_Hlt26671372"/>
            <w:bookmarkStart w:id="202" w:name="_Hlt26580838"/>
            <w:bookmarkStart w:id="203" w:name="_Hlt26782999"/>
            <w:bookmarkStart w:id="204" w:name="_Hlt24879081"/>
            <w:bookmarkStart w:id="205" w:name="_Hlt26955056"/>
            <w:bookmarkStart w:id="206" w:name="_Hlt26955064"/>
            <w:r>
              <w:rPr>
                <w:rFonts w:hint="eastAsia" w:asciiTheme="minorEastAsia" w:hAnsiTheme="minorEastAsia" w:eastAsiaTheme="minorEastAsia" w:cstheme="minorEastAsia"/>
                <w:color w:val="auto"/>
                <w:highlight w:val="none"/>
              </w:rPr>
              <w:t>序号</w:t>
            </w:r>
            <w:bookmarkEnd w:id="199"/>
            <w:bookmarkEnd w:id="200"/>
            <w:bookmarkEnd w:id="201"/>
            <w:bookmarkEnd w:id="202"/>
            <w:bookmarkEnd w:id="203"/>
            <w:bookmarkEnd w:id="204"/>
            <w:bookmarkEnd w:id="205"/>
            <w:bookmarkEnd w:id="206"/>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52A132">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F7AEBB">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投标响应情况</w:t>
            </w:r>
          </w:p>
        </w:tc>
        <w:tc>
          <w:tcPr>
            <w:tcW w:w="26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21DE91">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超出、符合或偏离</w:t>
            </w:r>
          </w:p>
        </w:tc>
        <w:tc>
          <w:tcPr>
            <w:tcW w:w="1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FCCB5E">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证明</w:t>
            </w:r>
          </w:p>
          <w:p w14:paraId="2BE7FA44">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材料</w:t>
            </w:r>
          </w:p>
        </w:tc>
      </w:tr>
      <w:tr w14:paraId="2A94E27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3E6B18">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E479A5">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8B04FC">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D8F82F">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4E6FB8">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3E9924C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C5E213">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372F85">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CA1822">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C9B623">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75F094">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0DA6F1E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A38397">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039EF5">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C8456C">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54727F">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70016E">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1EFE6EC5">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21B90C">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C4362D">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2CEE14">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0CD959">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4ED12F">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1080828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0438D6">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46203C">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038F92">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9D402B">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53DE96">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484E85A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824014">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C4DB0C">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09425B">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7A0102">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6C3C15">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42ECF1E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CA53AB">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65A105">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867F53">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0A4CFE">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F30D80">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213EF60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DF7484">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A3284E">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6F9E72">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31C93E">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83F127">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bl>
    <w:p w14:paraId="43406836">
      <w:pPr>
        <w:pStyle w:val="36"/>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 行数不够，可自行添加。</w:t>
      </w:r>
    </w:p>
    <w:p w14:paraId="0A36262A">
      <w:pPr>
        <w:pStyle w:val="36"/>
        <w:spacing w:beforeAutospacing="0" w:afterAutospacing="0" w:line="48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5C068A0">
      <w:pPr>
        <w:pStyle w:val="36"/>
        <w:spacing w:beforeAutospacing="0" w:afterAutospacing="0" w:line="48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92E8712">
      <w:pPr>
        <w:pStyle w:val="36"/>
        <w:spacing w:beforeAutospacing="0" w:afterAutospacing="0"/>
        <w:jc w:val="center"/>
        <w:rPr>
          <w:rFonts w:hint="eastAsia" w:asciiTheme="minorEastAsia" w:hAnsiTheme="minorEastAsia" w:eastAsiaTheme="minorEastAsia" w:cstheme="minorEastAsia"/>
          <w:color w:val="auto"/>
          <w:highlight w:val="none"/>
        </w:rPr>
      </w:pPr>
      <w:bookmarkStart w:id="207" w:name="_Hlt26671374"/>
      <w:bookmarkStart w:id="208" w:name="_Hlt26955066"/>
      <w:bookmarkStart w:id="209" w:name="_Toc462564146"/>
      <w:bookmarkStart w:id="210" w:name="_格式2__法定代表人授权书"/>
      <w:bookmarkStart w:id="211" w:name="_Hlt26609389"/>
      <w:r>
        <w:rPr>
          <w:rFonts w:hint="eastAsia" w:asciiTheme="minorEastAsia" w:hAnsiTheme="minorEastAsia" w:eastAsiaTheme="minorEastAsia" w:cstheme="minorEastAsia"/>
          <w:color w:val="auto"/>
          <w:highlight w:val="none"/>
        </w:rPr>
        <w:t> </w:t>
      </w:r>
    </w:p>
    <w:p w14:paraId="76DC1B72">
      <w:pPr>
        <w:pStyle w:val="36"/>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8D832CE">
      <w:pPr>
        <w:pStyle w:val="36"/>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799508BE">
      <w:pPr>
        <w:pStyle w:val="36"/>
        <w:spacing w:beforeAutospacing="0" w:afterAutospacing="0"/>
        <w:jc w:val="both"/>
        <w:rPr>
          <w:rFonts w:hint="eastAsia" w:asciiTheme="minorEastAsia" w:hAnsiTheme="minorEastAsia" w:eastAsiaTheme="minorEastAsia" w:cstheme="minorEastAsia"/>
          <w:color w:val="auto"/>
          <w:highlight w:val="none"/>
        </w:rPr>
      </w:pPr>
    </w:p>
    <w:p w14:paraId="4295A92B">
      <w:pPr>
        <w:pStyle w:val="36"/>
        <w:spacing w:beforeAutospacing="0" w:afterAutospacing="0"/>
        <w:jc w:val="both"/>
        <w:rPr>
          <w:rFonts w:hint="eastAsia" w:asciiTheme="minorEastAsia" w:hAnsiTheme="minorEastAsia" w:eastAsiaTheme="minorEastAsia" w:cstheme="minorEastAsia"/>
          <w:color w:val="auto"/>
          <w:highlight w:val="none"/>
        </w:rPr>
      </w:pPr>
    </w:p>
    <w:p w14:paraId="1BE681E0">
      <w:pPr>
        <w:pStyle w:val="36"/>
        <w:spacing w:beforeAutospacing="0" w:afterAutospacing="0"/>
        <w:jc w:val="both"/>
        <w:rPr>
          <w:rFonts w:hint="eastAsia" w:asciiTheme="minorEastAsia" w:hAnsiTheme="minorEastAsia" w:eastAsiaTheme="minorEastAsia" w:cstheme="minorEastAsia"/>
          <w:color w:val="auto"/>
          <w:highlight w:val="none"/>
        </w:rPr>
      </w:pPr>
    </w:p>
    <w:p w14:paraId="717F5585">
      <w:pPr>
        <w:pStyle w:val="36"/>
        <w:spacing w:beforeAutospacing="0" w:afterAutospacing="0"/>
        <w:jc w:val="both"/>
        <w:rPr>
          <w:rFonts w:hint="eastAsia" w:asciiTheme="minorEastAsia" w:hAnsiTheme="minorEastAsia" w:eastAsiaTheme="minorEastAsia" w:cstheme="minorEastAsia"/>
          <w:color w:val="auto"/>
          <w:highlight w:val="none"/>
        </w:rPr>
      </w:pPr>
    </w:p>
    <w:p w14:paraId="4EB4AB84">
      <w:pPr>
        <w:pStyle w:val="36"/>
        <w:spacing w:beforeAutospacing="0" w:afterAutospacing="0"/>
        <w:jc w:val="both"/>
        <w:rPr>
          <w:rFonts w:hint="eastAsia" w:asciiTheme="minorEastAsia" w:hAnsiTheme="minorEastAsia" w:eastAsiaTheme="minorEastAsia" w:cstheme="minorEastAsia"/>
          <w:color w:val="auto"/>
          <w:highlight w:val="none"/>
        </w:rPr>
      </w:pPr>
    </w:p>
    <w:p w14:paraId="6E8406D0">
      <w:pPr>
        <w:pStyle w:val="36"/>
        <w:spacing w:beforeAutospacing="0" w:afterAutospacing="0"/>
        <w:jc w:val="both"/>
        <w:rPr>
          <w:rFonts w:hint="eastAsia" w:asciiTheme="minorEastAsia" w:hAnsiTheme="minorEastAsia" w:eastAsiaTheme="minorEastAsia" w:cstheme="minorEastAsia"/>
          <w:color w:val="auto"/>
          <w:highlight w:val="none"/>
        </w:rPr>
      </w:pPr>
    </w:p>
    <w:p w14:paraId="4E9CDCE7">
      <w:pPr>
        <w:pStyle w:val="36"/>
        <w:spacing w:beforeAutospacing="0" w:afterAutospacing="0"/>
        <w:jc w:val="both"/>
        <w:rPr>
          <w:rFonts w:hint="eastAsia" w:asciiTheme="minorEastAsia" w:hAnsiTheme="minorEastAsia" w:eastAsiaTheme="minorEastAsia" w:cstheme="minorEastAsia"/>
          <w:color w:val="auto"/>
          <w:highlight w:val="none"/>
        </w:rPr>
      </w:pPr>
    </w:p>
    <w:p w14:paraId="49F75109">
      <w:pPr>
        <w:pStyle w:val="36"/>
        <w:spacing w:beforeAutospacing="0" w:afterAutospacing="0"/>
        <w:jc w:val="both"/>
        <w:rPr>
          <w:rFonts w:hint="eastAsia" w:asciiTheme="minorEastAsia" w:hAnsiTheme="minorEastAsia" w:eastAsiaTheme="minorEastAsia" w:cstheme="minorEastAsia"/>
          <w:color w:val="auto"/>
          <w:highlight w:val="none"/>
        </w:rPr>
      </w:pPr>
    </w:p>
    <w:p w14:paraId="6F721DCC">
      <w:pPr>
        <w:pStyle w:val="36"/>
        <w:spacing w:beforeAutospacing="0" w:afterAutospacing="0"/>
        <w:jc w:val="both"/>
        <w:rPr>
          <w:rFonts w:hint="eastAsia" w:asciiTheme="minorEastAsia" w:hAnsiTheme="minorEastAsia" w:eastAsiaTheme="minorEastAsia" w:cstheme="minorEastAsia"/>
          <w:color w:val="auto"/>
          <w:highlight w:val="none"/>
        </w:rPr>
      </w:pPr>
    </w:p>
    <w:p w14:paraId="79AEDC59">
      <w:pPr>
        <w:pStyle w:val="36"/>
        <w:spacing w:beforeAutospacing="0" w:afterAutospacing="0"/>
        <w:jc w:val="both"/>
        <w:rPr>
          <w:rFonts w:hint="eastAsia" w:asciiTheme="minorEastAsia" w:hAnsiTheme="minorEastAsia" w:eastAsiaTheme="minorEastAsia" w:cstheme="minorEastAsia"/>
          <w:color w:val="auto"/>
          <w:highlight w:val="none"/>
        </w:rPr>
      </w:pPr>
    </w:p>
    <w:p w14:paraId="6A903B5F">
      <w:pPr>
        <w:pStyle w:val="36"/>
        <w:spacing w:beforeAutospacing="0" w:afterAutospacing="0"/>
        <w:jc w:val="both"/>
        <w:rPr>
          <w:rFonts w:hint="eastAsia" w:asciiTheme="minorEastAsia" w:hAnsiTheme="minorEastAsia" w:eastAsiaTheme="minorEastAsia" w:cstheme="minorEastAsia"/>
          <w:color w:val="auto"/>
          <w:highlight w:val="none"/>
        </w:rPr>
      </w:pPr>
    </w:p>
    <w:p w14:paraId="5EB71F92">
      <w:pPr>
        <w:pStyle w:val="36"/>
        <w:spacing w:beforeAutospacing="0" w:afterAutospacing="0"/>
        <w:jc w:val="both"/>
        <w:rPr>
          <w:rFonts w:hint="eastAsia" w:asciiTheme="minorEastAsia" w:hAnsiTheme="minorEastAsia" w:eastAsiaTheme="minorEastAsia" w:cstheme="minorEastAsia"/>
          <w:color w:val="auto"/>
          <w:highlight w:val="none"/>
        </w:rPr>
      </w:pPr>
    </w:p>
    <w:p w14:paraId="403BA864">
      <w:pPr>
        <w:pStyle w:val="36"/>
        <w:spacing w:beforeAutospacing="0" w:afterAutospacing="0"/>
        <w:jc w:val="both"/>
        <w:rPr>
          <w:rFonts w:hint="eastAsia" w:asciiTheme="minorEastAsia" w:hAnsiTheme="minorEastAsia" w:eastAsiaTheme="minorEastAsia" w:cstheme="minorEastAsia"/>
          <w:color w:val="auto"/>
          <w:highlight w:val="none"/>
        </w:rPr>
      </w:pPr>
    </w:p>
    <w:p w14:paraId="15E2BAB1">
      <w:pPr>
        <w:pStyle w:val="36"/>
        <w:spacing w:beforeAutospacing="0" w:afterAutospacing="0"/>
        <w:jc w:val="both"/>
        <w:rPr>
          <w:rFonts w:hint="eastAsia" w:asciiTheme="minorEastAsia" w:hAnsiTheme="minorEastAsia" w:eastAsiaTheme="minorEastAsia" w:cstheme="minorEastAsia"/>
          <w:color w:val="auto"/>
          <w:highlight w:val="none"/>
        </w:rPr>
      </w:pPr>
    </w:p>
    <w:p w14:paraId="77B4FDDA">
      <w:pPr>
        <w:pStyle w:val="36"/>
        <w:spacing w:beforeAutospacing="0" w:afterAutospacing="0"/>
        <w:jc w:val="both"/>
        <w:rPr>
          <w:rFonts w:hint="eastAsia" w:asciiTheme="minorEastAsia" w:hAnsiTheme="minorEastAsia" w:eastAsiaTheme="minorEastAsia" w:cstheme="minorEastAsia"/>
          <w:color w:val="auto"/>
          <w:highlight w:val="none"/>
        </w:rPr>
      </w:pPr>
    </w:p>
    <w:p w14:paraId="38EC3A87">
      <w:pPr>
        <w:pStyle w:val="36"/>
        <w:spacing w:beforeAutospacing="0" w:afterAutospacing="0"/>
        <w:jc w:val="both"/>
        <w:rPr>
          <w:rFonts w:hint="eastAsia" w:asciiTheme="minorEastAsia" w:hAnsiTheme="minorEastAsia" w:eastAsiaTheme="minorEastAsia" w:cstheme="minorEastAsia"/>
          <w:color w:val="auto"/>
          <w:highlight w:val="none"/>
        </w:rPr>
      </w:pPr>
    </w:p>
    <w:p w14:paraId="394860AA">
      <w:pPr>
        <w:pStyle w:val="36"/>
        <w:spacing w:beforeAutospacing="0" w:afterAutospacing="0"/>
        <w:jc w:val="both"/>
        <w:rPr>
          <w:rFonts w:hint="eastAsia" w:asciiTheme="minorEastAsia" w:hAnsiTheme="minorEastAsia" w:eastAsiaTheme="minorEastAsia" w:cstheme="minorEastAsia"/>
          <w:color w:val="auto"/>
          <w:highlight w:val="none"/>
        </w:rPr>
      </w:pPr>
    </w:p>
    <w:p w14:paraId="1BCBD71C">
      <w:pPr>
        <w:pStyle w:val="36"/>
        <w:spacing w:beforeAutospacing="0" w:afterAutospacing="0"/>
        <w:jc w:val="both"/>
        <w:rPr>
          <w:rFonts w:hint="eastAsia" w:asciiTheme="minorEastAsia" w:hAnsiTheme="minorEastAsia" w:eastAsiaTheme="minorEastAsia" w:cstheme="minorEastAsia"/>
          <w:color w:val="auto"/>
          <w:highlight w:val="none"/>
        </w:rPr>
      </w:pPr>
    </w:p>
    <w:p w14:paraId="225679DE">
      <w:pPr>
        <w:pStyle w:val="36"/>
        <w:spacing w:beforeAutospacing="0" w:afterAutospacing="0"/>
        <w:jc w:val="both"/>
        <w:rPr>
          <w:rFonts w:hint="eastAsia" w:asciiTheme="minorEastAsia" w:hAnsiTheme="minorEastAsia" w:eastAsiaTheme="minorEastAsia" w:cstheme="minorEastAsia"/>
          <w:color w:val="auto"/>
          <w:highlight w:val="none"/>
        </w:rPr>
      </w:pPr>
    </w:p>
    <w:p w14:paraId="36A145F4">
      <w:pPr>
        <w:pStyle w:val="36"/>
        <w:spacing w:beforeAutospacing="0" w:afterAutospacing="0"/>
        <w:jc w:val="both"/>
        <w:rPr>
          <w:rFonts w:hint="eastAsia" w:asciiTheme="minorEastAsia" w:hAnsiTheme="minorEastAsia" w:eastAsiaTheme="minorEastAsia" w:cstheme="minorEastAsia"/>
          <w:color w:val="auto"/>
          <w:highlight w:val="none"/>
        </w:rPr>
      </w:pPr>
    </w:p>
    <w:p w14:paraId="39734DF8">
      <w:pPr>
        <w:pStyle w:val="36"/>
        <w:spacing w:beforeAutospacing="0" w:afterAutospacing="0"/>
        <w:jc w:val="both"/>
        <w:rPr>
          <w:rFonts w:hint="eastAsia" w:asciiTheme="minorEastAsia" w:hAnsiTheme="minorEastAsia" w:eastAsiaTheme="minorEastAsia" w:cstheme="minorEastAsia"/>
          <w:color w:val="auto"/>
          <w:highlight w:val="none"/>
        </w:rPr>
      </w:pPr>
    </w:p>
    <w:p w14:paraId="6AB003F0">
      <w:pPr>
        <w:pageBreakBefore w:val="0"/>
        <w:numPr>
          <w:ilvl w:val="0"/>
          <w:numId w:val="0"/>
        </w:numPr>
        <w:pBdr>
          <w:top w:val="none" w:color="000000" w:sz="0" w:space="0"/>
          <w:left w:val="none" w:color="000000" w:sz="0" w:space="0"/>
          <w:bottom w:val="none" w:color="000000" w:sz="0" w:space="0"/>
          <w:right w:val="none" w:color="000000" w:sz="0" w:space="0"/>
        </w:pBdr>
        <w:spacing w:before="0" w:after="0" w:line="499" w:lineRule="atLeast"/>
        <w:ind w:right="0"/>
        <w:jc w:val="center"/>
        <w:rPr>
          <w:rFonts w:hint="eastAsia" w:asciiTheme="minorEastAsia" w:hAnsiTheme="minorEastAsia" w:eastAsiaTheme="minorEastAsia" w:cstheme="minorEastAsia"/>
          <w:color w:val="auto"/>
          <w:highlight w:val="none"/>
        </w:rPr>
      </w:pPr>
      <w:r>
        <w:rPr>
          <w:rFonts w:hint="eastAsia" w:asciiTheme="minorEastAsia" w:hAnsiTheme="minorEastAsia" w:cstheme="minorEastAsia"/>
          <w:b/>
          <w:color w:val="auto"/>
          <w:sz w:val="32"/>
          <w:szCs w:val="32"/>
          <w:highlight w:val="none"/>
          <w:lang w:val="en-US" w:eastAsia="zh-CN" w:bidi="ar-SA"/>
        </w:rPr>
        <w:t>十四、</w:t>
      </w:r>
      <w:r>
        <w:rPr>
          <w:rFonts w:hint="eastAsia" w:asciiTheme="minorEastAsia" w:hAnsiTheme="minorEastAsia" w:eastAsiaTheme="minorEastAsia" w:cstheme="minorEastAsia"/>
          <w:b/>
          <w:color w:val="auto"/>
          <w:sz w:val="32"/>
          <w:szCs w:val="32"/>
          <w:highlight w:val="none"/>
          <w:lang w:val="en-US" w:eastAsia="zh-CN" w:bidi="ar-SA"/>
        </w:rPr>
        <w:t>开标一览表</w:t>
      </w:r>
    </w:p>
    <w:p w14:paraId="1069A776">
      <w:pPr>
        <w:pageBreakBefore w:val="0"/>
        <w:numPr>
          <w:ilvl w:val="0"/>
          <w:numId w:val="0"/>
        </w:numPr>
        <w:pBdr>
          <w:top w:val="none" w:color="000000" w:sz="0" w:space="0"/>
          <w:left w:val="none" w:color="000000" w:sz="0" w:space="0"/>
          <w:bottom w:val="none" w:color="000000" w:sz="0" w:space="0"/>
          <w:right w:val="none" w:color="000000" w:sz="0" w:space="0"/>
        </w:pBdr>
        <w:spacing w:before="0" w:after="0" w:line="499" w:lineRule="atLeast"/>
        <w:ind w:right="0"/>
        <w:jc w:val="both"/>
        <w:rPr>
          <w:rFonts w:hint="eastAsia" w:asciiTheme="minorEastAsia" w:hAnsiTheme="minorEastAsia" w:eastAsiaTheme="minorEastAsia" w:cstheme="minorEastAsia"/>
          <w:color w:val="auto"/>
          <w:highlight w:val="none"/>
        </w:rPr>
      </w:pPr>
    </w:p>
    <w:p w14:paraId="48BBABF9">
      <w:pPr>
        <w:pStyle w:val="211"/>
        <w:spacing w:line="280" w:lineRule="exact"/>
        <w:ind w:firstLine="480"/>
        <w:rPr>
          <w:color w:val="auto"/>
          <w:highlight w:val="none"/>
        </w:rPr>
      </w:pPr>
      <w:r>
        <w:rPr>
          <w:rFonts w:hint="eastAsia"/>
          <w:color w:val="auto"/>
          <w:highlight w:val="none"/>
        </w:rPr>
        <w:t>投标人全称（加盖CA电子签章）：</w:t>
      </w:r>
    </w:p>
    <w:p w14:paraId="0C912C77">
      <w:pPr>
        <w:pStyle w:val="211"/>
        <w:spacing w:line="280" w:lineRule="exact"/>
        <w:ind w:firstLine="480"/>
        <w:rPr>
          <w:rFonts w:hint="eastAsia"/>
          <w:color w:val="auto"/>
          <w:highlight w:val="none"/>
          <w:lang w:val="en-US" w:eastAsia="zh-CN"/>
        </w:rPr>
      </w:pPr>
      <w:r>
        <w:rPr>
          <w:rFonts w:hint="eastAsia"/>
          <w:color w:val="auto"/>
          <w:highlight w:val="none"/>
        </w:rPr>
        <w:t>项目名称：</w:t>
      </w:r>
      <w:r>
        <w:rPr>
          <w:rFonts w:hint="eastAsia"/>
          <w:color w:val="auto"/>
          <w:highlight w:val="none"/>
          <w:lang w:val="en-US" w:eastAsia="zh-CN"/>
        </w:rPr>
        <w:t xml:space="preserve">2025年11月-2027年11月大洋街道辖区公厕管护服务采购项目    </w:t>
      </w:r>
    </w:p>
    <w:p w14:paraId="1491919A">
      <w:pPr>
        <w:pStyle w:val="211"/>
        <w:spacing w:line="280" w:lineRule="exact"/>
        <w:ind w:firstLine="480"/>
        <w:rPr>
          <w:color w:val="auto"/>
          <w:highlight w:val="none"/>
        </w:rPr>
      </w:pPr>
      <w:r>
        <w:rPr>
          <w:rFonts w:hint="eastAsia"/>
          <w:color w:val="auto"/>
          <w:highlight w:val="none"/>
        </w:rPr>
        <w:t>招标编号：         </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8"/>
      </w:tblGrid>
      <w:tr w14:paraId="5DA7E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7" w:hRule="atLeast"/>
          <w:jc w:val="center"/>
        </w:trPr>
        <w:tc>
          <w:tcPr>
            <w:tcW w:w="9468" w:type="dxa"/>
            <w:noWrap w:val="0"/>
            <w:vAlign w:val="center"/>
          </w:tcPr>
          <w:p w14:paraId="013499BA">
            <w:pPr>
              <w:keepNext w:val="0"/>
              <w:keepLines w:val="0"/>
              <w:suppressLineNumbers w:val="0"/>
              <w:spacing w:before="0" w:beforeAutospacing="0" w:after="0" w:afterAutospacing="0" w:line="500" w:lineRule="exact"/>
              <w:ind w:left="0" w:right="0"/>
              <w:rPr>
                <w:rFonts w:hint="eastAsia" w:ascii="宋体" w:hAnsi="宋体" w:cs="宋体"/>
                <w:color w:val="auto"/>
                <w:sz w:val="24"/>
                <w:szCs w:val="24"/>
                <w:highlight w:val="none"/>
              </w:rPr>
            </w:pPr>
            <w:r>
              <w:rPr>
                <w:rFonts w:hint="eastAsia" w:ascii="宋体" w:hAnsi="宋体" w:cs="宋体"/>
                <w:b/>
                <w:bCs/>
                <w:color w:val="auto"/>
                <w:sz w:val="24"/>
                <w:szCs w:val="24"/>
                <w:highlight w:val="none"/>
              </w:rPr>
              <w:t>项目投标报价：大写人民币</w:t>
            </w:r>
            <w:r>
              <w:rPr>
                <w:rFonts w:hint="eastAsia" w:ascii="宋体" w:hAnsi="宋体" w:cs="宋体"/>
                <w:b/>
                <w:bCs/>
                <w:color w:val="auto"/>
                <w:sz w:val="24"/>
                <w:szCs w:val="24"/>
                <w:highlight w:val="none"/>
                <w:u w:val="single"/>
              </w:rPr>
              <w:t xml:space="preserve">        元     角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rPr>
              <w:t xml:space="preserve">  分 （￥      </w:t>
            </w:r>
            <w:r>
              <w:rPr>
                <w:rFonts w:hint="eastAsia" w:ascii="宋体" w:hAnsi="宋体" w:eastAsia="宋体" w:cs="宋体"/>
                <w:b/>
                <w:bCs/>
                <w:color w:val="auto"/>
                <w:sz w:val="24"/>
                <w:szCs w:val="24"/>
                <w:highlight w:val="none"/>
                <w:u w:val="single"/>
                <w:lang w:val="en-US" w:eastAsia="zh-CN"/>
              </w:rPr>
              <w:t>元</w:t>
            </w:r>
            <w:r>
              <w:rPr>
                <w:rFonts w:hint="eastAsia" w:ascii="宋体" w:hAnsi="宋体" w:cs="宋体"/>
                <w:b/>
                <w:bCs/>
                <w:color w:val="auto"/>
                <w:sz w:val="24"/>
                <w:szCs w:val="24"/>
                <w:highlight w:val="none"/>
                <w:u w:val="single"/>
              </w:rPr>
              <w:t>）</w:t>
            </w:r>
            <w:r>
              <w:rPr>
                <w:rFonts w:hint="eastAsia" w:ascii="宋体" w:hAnsi="宋体" w:cs="宋体"/>
                <w:b/>
                <w:bCs/>
                <w:color w:val="auto"/>
                <w:sz w:val="24"/>
                <w:szCs w:val="24"/>
                <w:highlight w:val="none"/>
              </w:rPr>
              <w:t xml:space="preserve"> 。 </w:t>
            </w:r>
          </w:p>
        </w:tc>
      </w:tr>
      <w:tr w14:paraId="5C320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4" w:hRule="atLeast"/>
          <w:jc w:val="center"/>
        </w:trPr>
        <w:tc>
          <w:tcPr>
            <w:tcW w:w="9468" w:type="dxa"/>
            <w:noWrap w:val="0"/>
            <w:vAlign w:val="center"/>
          </w:tcPr>
          <w:p w14:paraId="6A822357">
            <w:pPr>
              <w:keepNext w:val="0"/>
              <w:keepLines w:val="0"/>
              <w:suppressLineNumbers w:val="0"/>
              <w:spacing w:before="0" w:beforeAutospacing="0" w:after="0" w:afterAutospacing="0"/>
              <w:ind w:left="0" w:right="0"/>
              <w:rPr>
                <w:rFonts w:hint="eastAsia" w:ascii="宋体" w:hAnsi="宋体" w:cs="宋体"/>
                <w:color w:val="auto"/>
                <w:sz w:val="24"/>
                <w:szCs w:val="24"/>
                <w:highlight w:val="none"/>
                <w:u w:val="single"/>
              </w:rPr>
            </w:pPr>
            <w:r>
              <w:rPr>
                <w:rFonts w:hint="eastAsia" w:ascii="宋体" w:hAnsi="宋体" w:cs="宋体"/>
                <w:b/>
                <w:bCs/>
                <w:color w:val="auto"/>
                <w:sz w:val="24"/>
                <w:szCs w:val="24"/>
                <w:highlight w:val="none"/>
              </w:rPr>
              <w:t>项目负责人：</w:t>
            </w:r>
            <w:r>
              <w:rPr>
                <w:rFonts w:hint="eastAsia" w:ascii="宋体" w:hAnsi="宋体" w:cs="宋体"/>
                <w:color w:val="auto"/>
                <w:sz w:val="24"/>
                <w:szCs w:val="24"/>
                <w:highlight w:val="none"/>
              </w:rPr>
              <w:t>我方承诺如果我方中标，将委派</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（姓名）作为本项目负责人。</w:t>
            </w:r>
          </w:p>
        </w:tc>
      </w:tr>
      <w:tr w14:paraId="1071A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9468" w:type="dxa"/>
            <w:noWrap w:val="0"/>
            <w:vAlign w:val="center"/>
          </w:tcPr>
          <w:p w14:paraId="57846EBC">
            <w:pPr>
              <w:keepNext w:val="0"/>
              <w:keepLines w:val="0"/>
              <w:suppressLineNumbers w:val="0"/>
              <w:spacing w:before="0" w:beforeAutospacing="0" w:after="0" w:afterAutospacing="0"/>
              <w:ind w:left="0" w:right="0"/>
              <w:rPr>
                <w:rFonts w:hint="eastAsia" w:ascii="宋体" w:hAnsi="宋体" w:cs="宋体"/>
                <w:b/>
                <w:bCs/>
                <w:color w:val="auto"/>
                <w:sz w:val="24"/>
                <w:szCs w:val="24"/>
                <w:highlight w:val="none"/>
              </w:rPr>
            </w:pPr>
            <w:r>
              <w:rPr>
                <w:rFonts w:ascii="宋体" w:hAnsi="宋体" w:eastAsia="宋体" w:cs="宋体"/>
                <w:b/>
                <w:color w:val="auto"/>
                <w:sz w:val="24"/>
                <w:highlight w:val="none"/>
              </w:rPr>
              <w:t>合同履行期限：</w:t>
            </w:r>
          </w:p>
        </w:tc>
      </w:tr>
      <w:tr w14:paraId="31068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9468" w:type="dxa"/>
            <w:noWrap w:val="0"/>
            <w:vAlign w:val="center"/>
          </w:tcPr>
          <w:p w14:paraId="3BE05169">
            <w:pPr>
              <w:keepNext w:val="0"/>
              <w:keepLines w:val="0"/>
              <w:suppressLineNumbers w:val="0"/>
              <w:spacing w:before="0" w:beforeAutospacing="0" w:after="0" w:afterAutospacing="0" w:line="500" w:lineRule="exact"/>
              <w:ind w:left="0" w:right="0"/>
              <w:rPr>
                <w:rFonts w:hint="eastAsia" w:ascii="宋体" w:hAnsi="宋体" w:cs="宋体"/>
                <w:color w:val="auto"/>
                <w:sz w:val="24"/>
                <w:szCs w:val="24"/>
                <w:highlight w:val="none"/>
              </w:rPr>
            </w:pPr>
            <w:r>
              <w:rPr>
                <w:rFonts w:hint="eastAsia" w:ascii="宋体" w:hAnsi="宋体" w:cs="宋体"/>
                <w:b/>
                <w:bCs/>
                <w:color w:val="auto"/>
                <w:sz w:val="24"/>
                <w:szCs w:val="24"/>
                <w:highlight w:val="none"/>
              </w:rPr>
              <w:t>是否为小微企业：</w:t>
            </w:r>
            <w:r>
              <w:rPr>
                <w:rFonts w:hint="eastAsia" w:ascii="宋体" w:hAnsi="宋体" w:cs="宋体"/>
                <w:b/>
                <w:bCs/>
                <w:color w:val="auto"/>
                <w:sz w:val="24"/>
                <w:szCs w:val="24"/>
                <w:highlight w:val="none"/>
                <w:u w:val="single"/>
              </w:rPr>
              <w:t xml:space="preserve">  是（）/否（）   </w:t>
            </w:r>
            <w:r>
              <w:rPr>
                <w:rFonts w:hint="eastAsia" w:ascii="宋体" w:hAnsi="宋体" w:cs="宋体"/>
                <w:b/>
                <w:bCs/>
                <w:color w:val="auto"/>
                <w:sz w:val="24"/>
                <w:szCs w:val="24"/>
                <w:highlight w:val="none"/>
              </w:rPr>
              <w:t xml:space="preserve">           见</w:t>
            </w:r>
            <w:r>
              <w:rPr>
                <w:rFonts w:hint="eastAsia" w:ascii="宋体" w:hAnsi="宋体" w:cs="宋体"/>
                <w:b/>
                <w:bCs/>
                <w:color w:val="auto"/>
                <w:sz w:val="24"/>
                <w:szCs w:val="24"/>
                <w:highlight w:val="none"/>
                <w:u w:val="single"/>
              </w:rPr>
              <w:t>（          ）</w:t>
            </w:r>
            <w:r>
              <w:rPr>
                <w:rFonts w:hint="eastAsia" w:ascii="宋体" w:hAnsi="宋体" w:cs="宋体"/>
                <w:b/>
                <w:bCs/>
                <w:color w:val="auto"/>
                <w:sz w:val="24"/>
                <w:szCs w:val="24"/>
                <w:highlight w:val="none"/>
              </w:rPr>
              <w:t>页</w:t>
            </w:r>
          </w:p>
        </w:tc>
      </w:tr>
    </w:tbl>
    <w:p w14:paraId="46FA3E31">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填写说明：</w:t>
      </w:r>
    </w:p>
    <w:p w14:paraId="5DEE7BD1">
      <w:pPr>
        <w:numPr>
          <w:ilvl w:val="0"/>
          <w:numId w:val="8"/>
        </w:num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开标一览表不得填报选择性报价，否则将作为无效投标；</w:t>
      </w:r>
    </w:p>
    <w:p w14:paraId="2F423BD5">
      <w:pPr>
        <w:numPr>
          <w:ilvl w:val="0"/>
          <w:numId w:val="8"/>
        </w:num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开标一览表中报价与投标分项明细报价表中不符时时，以开标一览表为准；</w:t>
      </w:r>
    </w:p>
    <w:p w14:paraId="4672AFDF">
      <w:pPr>
        <w:widowControl/>
        <w:spacing w:before="50" w:after="50"/>
        <w:jc w:val="center"/>
        <w:rPr>
          <w:rFonts w:hint="eastAsia" w:asciiTheme="minorEastAsia" w:hAnsiTheme="minorEastAsia" w:eastAsiaTheme="minorEastAsia" w:cstheme="minorEastAsia"/>
          <w:color w:val="auto"/>
          <w:highlight w:val="none"/>
        </w:rPr>
      </w:pPr>
    </w:p>
    <w:p w14:paraId="404F0199">
      <w:pPr>
        <w:widowControl/>
        <w:spacing w:before="50" w:after="50"/>
        <w:jc w:val="center"/>
        <w:rPr>
          <w:rFonts w:hint="eastAsia" w:asciiTheme="minorEastAsia" w:hAnsiTheme="minorEastAsia" w:eastAsiaTheme="minorEastAsia" w:cstheme="minorEastAsia"/>
          <w:color w:val="auto"/>
          <w:highlight w:val="none"/>
        </w:rPr>
      </w:pPr>
    </w:p>
    <w:p w14:paraId="101F7026">
      <w:pPr>
        <w:widowControl/>
        <w:spacing w:before="50" w:after="50"/>
        <w:jc w:val="both"/>
        <w:rPr>
          <w:rFonts w:hint="eastAsia" w:asciiTheme="minorEastAsia" w:hAnsiTheme="minorEastAsia" w:eastAsiaTheme="minorEastAsia" w:cstheme="minorEastAsia"/>
          <w:color w:val="auto"/>
          <w:highlight w:val="none"/>
        </w:rPr>
      </w:pPr>
    </w:p>
    <w:p w14:paraId="22779FEA">
      <w:pPr>
        <w:widowControl/>
        <w:spacing w:before="50" w:after="50"/>
        <w:jc w:val="center"/>
        <w:rPr>
          <w:rFonts w:hint="eastAsia" w:asciiTheme="minorEastAsia" w:hAnsiTheme="minorEastAsia" w:eastAsiaTheme="minorEastAsia" w:cstheme="minorEastAsia"/>
          <w:color w:val="auto"/>
          <w:highlight w:val="none"/>
        </w:rPr>
      </w:pPr>
    </w:p>
    <w:p w14:paraId="4ED6A849">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24770F93">
      <w:pPr>
        <w:widowControl/>
        <w:spacing w:before="50" w:after="50"/>
        <w:jc w:val="center"/>
        <w:rPr>
          <w:rFonts w:hint="eastAsia" w:asciiTheme="minorEastAsia" w:hAnsiTheme="minorEastAsia" w:eastAsiaTheme="minorEastAsia" w:cstheme="minorEastAsia"/>
          <w:color w:val="auto"/>
          <w:highlight w:val="none"/>
        </w:rPr>
      </w:pPr>
    </w:p>
    <w:p w14:paraId="210F6AF2">
      <w:pPr>
        <w:pStyle w:val="197"/>
        <w:rPr>
          <w:rFonts w:hint="eastAsia" w:asciiTheme="minorEastAsia" w:hAnsiTheme="minorEastAsia" w:eastAsiaTheme="minorEastAsia" w:cstheme="minorEastAsia"/>
          <w:color w:val="auto"/>
          <w:highlight w:val="none"/>
        </w:rPr>
      </w:pPr>
    </w:p>
    <w:p w14:paraId="7EA7A0AA">
      <w:pPr>
        <w:pStyle w:val="197"/>
        <w:rPr>
          <w:rFonts w:hint="eastAsia" w:asciiTheme="minorEastAsia" w:hAnsiTheme="minorEastAsia" w:eastAsiaTheme="minorEastAsia" w:cstheme="minorEastAsia"/>
          <w:color w:val="auto"/>
          <w:highlight w:val="none"/>
        </w:rPr>
      </w:pPr>
    </w:p>
    <w:p w14:paraId="7ED2C205">
      <w:pPr>
        <w:pStyle w:val="197"/>
        <w:rPr>
          <w:rFonts w:hint="eastAsia" w:asciiTheme="minorEastAsia" w:hAnsiTheme="minorEastAsia" w:eastAsiaTheme="minorEastAsia" w:cstheme="minorEastAsia"/>
          <w:color w:val="auto"/>
          <w:highlight w:val="none"/>
        </w:rPr>
      </w:pPr>
    </w:p>
    <w:p w14:paraId="02A5E464">
      <w:pPr>
        <w:pStyle w:val="197"/>
        <w:rPr>
          <w:rFonts w:hint="eastAsia" w:asciiTheme="minorEastAsia" w:hAnsiTheme="minorEastAsia" w:eastAsiaTheme="minorEastAsia" w:cstheme="minorEastAsia"/>
          <w:color w:val="auto"/>
          <w:highlight w:val="none"/>
        </w:rPr>
      </w:pPr>
    </w:p>
    <w:p w14:paraId="261A3482">
      <w:pPr>
        <w:pStyle w:val="197"/>
        <w:rPr>
          <w:rFonts w:hint="eastAsia" w:asciiTheme="minorEastAsia" w:hAnsiTheme="minorEastAsia" w:eastAsiaTheme="minorEastAsia" w:cstheme="minorEastAsia"/>
          <w:color w:val="auto"/>
          <w:highlight w:val="none"/>
        </w:rPr>
      </w:pPr>
    </w:p>
    <w:p w14:paraId="71E26297">
      <w:pPr>
        <w:pStyle w:val="197"/>
        <w:rPr>
          <w:rFonts w:hint="eastAsia" w:asciiTheme="minorEastAsia" w:hAnsiTheme="minorEastAsia" w:eastAsiaTheme="minorEastAsia" w:cstheme="minorEastAsia"/>
          <w:color w:val="auto"/>
          <w:highlight w:val="none"/>
        </w:rPr>
      </w:pPr>
    </w:p>
    <w:p w14:paraId="079EBAF9">
      <w:pPr>
        <w:pStyle w:val="197"/>
        <w:rPr>
          <w:rFonts w:hint="eastAsia" w:asciiTheme="minorEastAsia" w:hAnsiTheme="minorEastAsia" w:eastAsiaTheme="minorEastAsia" w:cstheme="minorEastAsia"/>
          <w:color w:val="auto"/>
          <w:highlight w:val="none"/>
        </w:rPr>
      </w:pPr>
    </w:p>
    <w:p w14:paraId="2B652408">
      <w:pPr>
        <w:pStyle w:val="197"/>
        <w:rPr>
          <w:rFonts w:hint="eastAsia" w:asciiTheme="minorEastAsia" w:hAnsiTheme="minorEastAsia" w:eastAsiaTheme="minorEastAsia" w:cstheme="minorEastAsia"/>
          <w:color w:val="auto"/>
          <w:highlight w:val="none"/>
        </w:rPr>
      </w:pPr>
    </w:p>
    <w:p w14:paraId="674A5B77">
      <w:pPr>
        <w:pStyle w:val="197"/>
        <w:rPr>
          <w:rFonts w:hint="eastAsia" w:asciiTheme="minorEastAsia" w:hAnsiTheme="minorEastAsia" w:eastAsiaTheme="minorEastAsia" w:cstheme="minorEastAsia"/>
          <w:color w:val="auto"/>
          <w:highlight w:val="none"/>
        </w:rPr>
      </w:pPr>
    </w:p>
    <w:p w14:paraId="5451BB88">
      <w:pPr>
        <w:pStyle w:val="197"/>
        <w:rPr>
          <w:rFonts w:hint="eastAsia" w:asciiTheme="minorEastAsia" w:hAnsiTheme="minorEastAsia" w:eastAsiaTheme="minorEastAsia" w:cstheme="minorEastAsia"/>
          <w:color w:val="auto"/>
          <w:highlight w:val="none"/>
        </w:rPr>
      </w:pPr>
    </w:p>
    <w:p w14:paraId="6066173B">
      <w:pPr>
        <w:pStyle w:val="197"/>
        <w:rPr>
          <w:rFonts w:hint="eastAsia" w:asciiTheme="minorEastAsia" w:hAnsiTheme="minorEastAsia" w:eastAsiaTheme="minorEastAsia" w:cstheme="minorEastAsia"/>
          <w:color w:val="auto"/>
          <w:highlight w:val="none"/>
        </w:rPr>
      </w:pPr>
    </w:p>
    <w:p w14:paraId="6ADA5D94">
      <w:pPr>
        <w:widowControl/>
        <w:spacing w:before="50" w:after="50"/>
        <w:jc w:val="both"/>
        <w:rPr>
          <w:rFonts w:hint="eastAsia" w:asciiTheme="minorEastAsia" w:hAnsiTheme="minorEastAsia" w:eastAsiaTheme="minorEastAsia" w:cstheme="minorEastAsia"/>
          <w:color w:val="auto"/>
          <w:sz w:val="32"/>
          <w:szCs w:val="32"/>
          <w:highlight w:val="none"/>
        </w:rPr>
      </w:pPr>
    </w:p>
    <w:p w14:paraId="5786A62E">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b/>
          <w:sz w:val="32"/>
        </w:rPr>
      </w:pPr>
    </w:p>
    <w:p w14:paraId="1F2E8133">
      <w:pPr>
        <w:pBdr>
          <w:top w:val="none" w:color="000000" w:sz="0" w:space="0"/>
          <w:left w:val="none" w:color="000000" w:sz="0" w:space="0"/>
          <w:bottom w:val="none" w:color="000000" w:sz="0" w:space="0"/>
          <w:right w:val="none" w:color="000000" w:sz="0" w:space="0"/>
        </w:pBdr>
        <w:spacing w:line="400" w:lineRule="atLeast"/>
        <w:jc w:val="center"/>
        <w:rPr>
          <w:rFonts w:ascii="宋体" w:hAnsi="宋体" w:eastAsia="宋体" w:cs="宋体"/>
        </w:rPr>
      </w:pPr>
      <w:r>
        <w:rPr>
          <w:rFonts w:hint="eastAsia" w:ascii="宋体" w:hAnsi="宋体" w:eastAsia="宋体" w:cs="宋体"/>
          <w:b/>
          <w:sz w:val="32"/>
        </w:rPr>
        <w:t>十</w:t>
      </w:r>
      <w:r>
        <w:rPr>
          <w:rFonts w:hint="eastAsia" w:ascii="宋体" w:hAnsi="宋体" w:eastAsia="宋体" w:cs="宋体"/>
          <w:b/>
          <w:sz w:val="32"/>
          <w:lang w:val="en-US" w:eastAsia="zh-CN"/>
        </w:rPr>
        <w:t>五</w:t>
      </w:r>
      <w:r>
        <w:rPr>
          <w:rFonts w:hint="eastAsia" w:ascii="宋体" w:hAnsi="宋体" w:eastAsia="宋体" w:cs="宋体"/>
          <w:b/>
          <w:sz w:val="32"/>
        </w:rPr>
        <w:t>、人员配备一览表（表格可拓展）</w:t>
      </w:r>
    </w:p>
    <w:p w14:paraId="415800D6">
      <w:pPr>
        <w:pBdr>
          <w:top w:val="none" w:color="000000" w:sz="0" w:space="0"/>
          <w:left w:val="none" w:color="000000" w:sz="0" w:space="0"/>
          <w:bottom w:val="none" w:color="000000" w:sz="0" w:space="0"/>
          <w:right w:val="none" w:color="000000" w:sz="0" w:space="0"/>
        </w:pBdr>
        <w:spacing w:line="400" w:lineRule="atLeast"/>
        <w:rPr>
          <w:rFonts w:ascii="宋体" w:hAnsi="宋体" w:eastAsia="宋体" w:cs="宋体"/>
        </w:rPr>
      </w:pPr>
      <w:r>
        <w:rPr>
          <w:rFonts w:hint="eastAsia" w:ascii="宋体" w:hAnsi="宋体" w:eastAsia="宋体" w:cs="宋体"/>
          <w:sz w:val="22"/>
        </w:rPr>
        <w:t> </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2"/>
        <w:gridCol w:w="3098"/>
        <w:gridCol w:w="1155"/>
        <w:gridCol w:w="3555"/>
        <w:gridCol w:w="1425"/>
      </w:tblGrid>
      <w:tr w14:paraId="4954A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592" w:type="dxa"/>
            <w:noWrap/>
            <w:tcMar>
              <w:top w:w="0" w:type="dxa"/>
              <w:left w:w="108" w:type="dxa"/>
              <w:bottom w:w="0" w:type="dxa"/>
              <w:right w:w="108" w:type="dxa"/>
            </w:tcMar>
            <w:vAlign w:val="center"/>
          </w:tcPr>
          <w:p w14:paraId="7AFCF31F">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序号</w:t>
            </w:r>
          </w:p>
        </w:tc>
        <w:tc>
          <w:tcPr>
            <w:tcW w:w="3098" w:type="dxa"/>
            <w:noWrap/>
            <w:tcMar>
              <w:top w:w="0" w:type="dxa"/>
              <w:left w:w="108" w:type="dxa"/>
              <w:bottom w:w="0" w:type="dxa"/>
              <w:right w:w="108" w:type="dxa"/>
            </w:tcMar>
            <w:vAlign w:val="center"/>
          </w:tcPr>
          <w:p w14:paraId="7DF681D8">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岗位</w:t>
            </w:r>
          </w:p>
        </w:tc>
        <w:tc>
          <w:tcPr>
            <w:tcW w:w="1155" w:type="dxa"/>
            <w:noWrap/>
            <w:tcMar>
              <w:top w:w="0" w:type="dxa"/>
              <w:left w:w="108" w:type="dxa"/>
              <w:bottom w:w="0" w:type="dxa"/>
              <w:right w:w="108" w:type="dxa"/>
            </w:tcMar>
            <w:vAlign w:val="center"/>
          </w:tcPr>
          <w:p w14:paraId="46F8CBF8">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数量</w:t>
            </w:r>
          </w:p>
        </w:tc>
        <w:tc>
          <w:tcPr>
            <w:tcW w:w="3555" w:type="dxa"/>
            <w:noWrap/>
            <w:tcMar>
              <w:top w:w="0" w:type="dxa"/>
              <w:left w:w="108" w:type="dxa"/>
              <w:bottom w:w="0" w:type="dxa"/>
              <w:right w:w="108" w:type="dxa"/>
            </w:tcMar>
            <w:vAlign w:val="center"/>
          </w:tcPr>
          <w:p w14:paraId="7967DF25">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基本要求</w:t>
            </w:r>
          </w:p>
        </w:tc>
        <w:tc>
          <w:tcPr>
            <w:tcW w:w="1425" w:type="dxa"/>
            <w:noWrap/>
            <w:tcMar>
              <w:top w:w="0" w:type="dxa"/>
              <w:left w:w="108" w:type="dxa"/>
              <w:bottom w:w="0" w:type="dxa"/>
              <w:right w:w="108" w:type="dxa"/>
            </w:tcMar>
            <w:vAlign w:val="center"/>
          </w:tcPr>
          <w:p w14:paraId="030D5174">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备注</w:t>
            </w:r>
          </w:p>
        </w:tc>
      </w:tr>
      <w:tr w14:paraId="4047C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92" w:type="dxa"/>
            <w:noWrap/>
            <w:tcMar>
              <w:top w:w="0" w:type="dxa"/>
              <w:left w:w="108" w:type="dxa"/>
              <w:bottom w:w="0" w:type="dxa"/>
              <w:right w:w="108" w:type="dxa"/>
            </w:tcMar>
            <w:vAlign w:val="center"/>
          </w:tcPr>
          <w:p w14:paraId="5FE3E37E">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1</w:t>
            </w:r>
          </w:p>
        </w:tc>
        <w:tc>
          <w:tcPr>
            <w:tcW w:w="3098" w:type="dxa"/>
            <w:noWrap/>
            <w:tcMar>
              <w:top w:w="0" w:type="dxa"/>
              <w:left w:w="108" w:type="dxa"/>
              <w:bottom w:w="0" w:type="dxa"/>
              <w:right w:w="108" w:type="dxa"/>
            </w:tcMar>
            <w:vAlign w:val="center"/>
          </w:tcPr>
          <w:p w14:paraId="06F6B6A4">
            <w:pPr>
              <w:pBdr>
                <w:top w:val="none" w:color="000000" w:sz="0" w:space="0"/>
                <w:left w:val="none" w:color="000000" w:sz="0" w:space="0"/>
                <w:bottom w:val="none" w:color="000000" w:sz="0" w:space="0"/>
                <w:right w:val="none" w:color="000000" w:sz="0" w:space="0"/>
              </w:pBdr>
              <w:spacing w:after="0" w:line="400" w:lineRule="atLeast"/>
              <w:rPr>
                <w:rFonts w:ascii="宋体" w:hAnsi="宋体" w:eastAsia="宋体" w:cs="宋体"/>
              </w:rPr>
            </w:pPr>
            <w:r>
              <w:rPr>
                <w:rFonts w:hint="eastAsia" w:ascii="宋体" w:hAnsi="宋体" w:eastAsia="宋体" w:cs="宋体"/>
                <w:sz w:val="22"/>
              </w:rPr>
              <w:t> </w:t>
            </w:r>
          </w:p>
        </w:tc>
        <w:tc>
          <w:tcPr>
            <w:tcW w:w="1155" w:type="dxa"/>
            <w:noWrap/>
            <w:tcMar>
              <w:top w:w="0" w:type="dxa"/>
              <w:left w:w="108" w:type="dxa"/>
              <w:bottom w:w="0" w:type="dxa"/>
              <w:right w:w="108" w:type="dxa"/>
            </w:tcMar>
            <w:vAlign w:val="center"/>
          </w:tcPr>
          <w:p w14:paraId="4E40FFCD">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 </w:t>
            </w:r>
          </w:p>
        </w:tc>
        <w:tc>
          <w:tcPr>
            <w:tcW w:w="3555" w:type="dxa"/>
            <w:noWrap/>
            <w:tcMar>
              <w:top w:w="0" w:type="dxa"/>
              <w:left w:w="108" w:type="dxa"/>
              <w:bottom w:w="0" w:type="dxa"/>
              <w:right w:w="108" w:type="dxa"/>
            </w:tcMar>
            <w:vAlign w:val="center"/>
          </w:tcPr>
          <w:p w14:paraId="512082FD">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 </w:t>
            </w:r>
          </w:p>
        </w:tc>
        <w:tc>
          <w:tcPr>
            <w:tcW w:w="1425" w:type="dxa"/>
            <w:noWrap/>
            <w:tcMar>
              <w:top w:w="0" w:type="dxa"/>
              <w:left w:w="108" w:type="dxa"/>
              <w:bottom w:w="0" w:type="dxa"/>
              <w:right w:w="108" w:type="dxa"/>
            </w:tcMar>
            <w:vAlign w:val="center"/>
          </w:tcPr>
          <w:p w14:paraId="4B892EEF">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 </w:t>
            </w:r>
          </w:p>
        </w:tc>
      </w:tr>
      <w:tr w14:paraId="19651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592" w:type="dxa"/>
            <w:noWrap/>
            <w:tcMar>
              <w:top w:w="0" w:type="dxa"/>
              <w:left w:w="108" w:type="dxa"/>
              <w:bottom w:w="0" w:type="dxa"/>
              <w:right w:w="108" w:type="dxa"/>
            </w:tcMar>
            <w:vAlign w:val="center"/>
          </w:tcPr>
          <w:p w14:paraId="5DDD369A">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rPr>
              <w:t>2</w:t>
            </w:r>
          </w:p>
        </w:tc>
        <w:tc>
          <w:tcPr>
            <w:tcW w:w="3098" w:type="dxa"/>
            <w:noWrap/>
            <w:tcMar>
              <w:top w:w="0" w:type="dxa"/>
              <w:left w:w="108" w:type="dxa"/>
              <w:bottom w:w="0" w:type="dxa"/>
              <w:right w:w="108" w:type="dxa"/>
            </w:tcMar>
            <w:vAlign w:val="center"/>
          </w:tcPr>
          <w:p w14:paraId="230AA0A6">
            <w:pPr>
              <w:pBdr>
                <w:top w:val="none" w:color="000000" w:sz="0" w:space="0"/>
                <w:left w:val="none" w:color="000000" w:sz="0" w:space="0"/>
                <w:bottom w:val="none" w:color="000000" w:sz="0" w:space="0"/>
                <w:right w:val="none" w:color="000000" w:sz="0" w:space="0"/>
              </w:pBdr>
              <w:spacing w:after="0" w:line="400" w:lineRule="atLeast"/>
              <w:rPr>
                <w:rFonts w:ascii="宋体" w:hAnsi="宋体" w:eastAsia="宋体" w:cs="宋体"/>
              </w:rPr>
            </w:pPr>
            <w:r>
              <w:rPr>
                <w:rFonts w:hint="eastAsia" w:ascii="宋体" w:hAnsi="宋体" w:eastAsia="宋体" w:cs="宋体"/>
                <w:sz w:val="22"/>
              </w:rPr>
              <w:t> </w:t>
            </w:r>
          </w:p>
        </w:tc>
        <w:tc>
          <w:tcPr>
            <w:tcW w:w="1155" w:type="dxa"/>
            <w:noWrap/>
            <w:tcMar>
              <w:top w:w="0" w:type="dxa"/>
              <w:left w:w="108" w:type="dxa"/>
              <w:bottom w:w="0" w:type="dxa"/>
              <w:right w:w="108" w:type="dxa"/>
            </w:tcMar>
            <w:vAlign w:val="center"/>
          </w:tcPr>
          <w:p w14:paraId="4EDC8A15">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 </w:t>
            </w:r>
          </w:p>
        </w:tc>
        <w:tc>
          <w:tcPr>
            <w:tcW w:w="3555" w:type="dxa"/>
            <w:noWrap/>
            <w:tcMar>
              <w:top w:w="0" w:type="dxa"/>
              <w:left w:w="108" w:type="dxa"/>
              <w:bottom w:w="0" w:type="dxa"/>
              <w:right w:w="108" w:type="dxa"/>
            </w:tcMar>
            <w:vAlign w:val="center"/>
          </w:tcPr>
          <w:p w14:paraId="49CEEE61">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 </w:t>
            </w:r>
          </w:p>
        </w:tc>
        <w:tc>
          <w:tcPr>
            <w:tcW w:w="1425" w:type="dxa"/>
            <w:noWrap/>
            <w:tcMar>
              <w:top w:w="0" w:type="dxa"/>
              <w:left w:w="108" w:type="dxa"/>
              <w:bottom w:w="0" w:type="dxa"/>
              <w:right w:w="108" w:type="dxa"/>
            </w:tcMar>
            <w:vAlign w:val="center"/>
          </w:tcPr>
          <w:p w14:paraId="57219F8B">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 </w:t>
            </w:r>
          </w:p>
        </w:tc>
      </w:tr>
      <w:tr w14:paraId="18AD9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92" w:type="dxa"/>
            <w:noWrap/>
            <w:tcMar>
              <w:top w:w="0" w:type="dxa"/>
              <w:left w:w="108" w:type="dxa"/>
              <w:bottom w:w="0" w:type="dxa"/>
              <w:right w:w="108" w:type="dxa"/>
            </w:tcMar>
            <w:vAlign w:val="center"/>
          </w:tcPr>
          <w:p w14:paraId="13668A52">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rPr>
              <w:t>3</w:t>
            </w:r>
          </w:p>
        </w:tc>
        <w:tc>
          <w:tcPr>
            <w:tcW w:w="3098" w:type="dxa"/>
            <w:noWrap/>
            <w:tcMar>
              <w:top w:w="0" w:type="dxa"/>
              <w:left w:w="108" w:type="dxa"/>
              <w:bottom w:w="0" w:type="dxa"/>
              <w:right w:w="108" w:type="dxa"/>
            </w:tcMar>
            <w:vAlign w:val="center"/>
          </w:tcPr>
          <w:p w14:paraId="6282771B">
            <w:pPr>
              <w:pBdr>
                <w:top w:val="none" w:color="000000" w:sz="0" w:space="0"/>
                <w:left w:val="none" w:color="000000" w:sz="0" w:space="0"/>
                <w:bottom w:val="none" w:color="000000" w:sz="0" w:space="0"/>
                <w:right w:val="none" w:color="000000" w:sz="0" w:space="0"/>
              </w:pBdr>
              <w:spacing w:after="0" w:line="400" w:lineRule="atLeast"/>
              <w:rPr>
                <w:rFonts w:ascii="宋体" w:hAnsi="宋体" w:eastAsia="宋体" w:cs="宋体"/>
              </w:rPr>
            </w:pPr>
            <w:r>
              <w:rPr>
                <w:rFonts w:hint="eastAsia" w:ascii="宋体" w:hAnsi="宋体" w:eastAsia="宋体" w:cs="宋体"/>
                <w:sz w:val="22"/>
              </w:rPr>
              <w:t> </w:t>
            </w:r>
          </w:p>
        </w:tc>
        <w:tc>
          <w:tcPr>
            <w:tcW w:w="1155" w:type="dxa"/>
            <w:noWrap/>
            <w:tcMar>
              <w:top w:w="0" w:type="dxa"/>
              <w:left w:w="108" w:type="dxa"/>
              <w:bottom w:w="0" w:type="dxa"/>
              <w:right w:w="108" w:type="dxa"/>
            </w:tcMar>
            <w:vAlign w:val="center"/>
          </w:tcPr>
          <w:p w14:paraId="69889BDA">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 </w:t>
            </w:r>
          </w:p>
        </w:tc>
        <w:tc>
          <w:tcPr>
            <w:tcW w:w="3555" w:type="dxa"/>
            <w:noWrap/>
            <w:tcMar>
              <w:top w:w="0" w:type="dxa"/>
              <w:left w:w="108" w:type="dxa"/>
              <w:bottom w:w="0" w:type="dxa"/>
              <w:right w:w="108" w:type="dxa"/>
            </w:tcMar>
            <w:vAlign w:val="center"/>
          </w:tcPr>
          <w:p w14:paraId="48328300">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 </w:t>
            </w:r>
          </w:p>
        </w:tc>
        <w:tc>
          <w:tcPr>
            <w:tcW w:w="1425" w:type="dxa"/>
            <w:noWrap/>
            <w:tcMar>
              <w:top w:w="0" w:type="dxa"/>
              <w:left w:w="108" w:type="dxa"/>
              <w:bottom w:w="0" w:type="dxa"/>
              <w:right w:w="108" w:type="dxa"/>
            </w:tcMar>
            <w:vAlign w:val="center"/>
          </w:tcPr>
          <w:p w14:paraId="679486A1">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 </w:t>
            </w:r>
          </w:p>
        </w:tc>
      </w:tr>
      <w:tr w14:paraId="0C57D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92" w:type="dxa"/>
            <w:noWrap/>
            <w:tcMar>
              <w:top w:w="0" w:type="dxa"/>
              <w:left w:w="108" w:type="dxa"/>
              <w:bottom w:w="0" w:type="dxa"/>
              <w:right w:w="108" w:type="dxa"/>
            </w:tcMar>
            <w:vAlign w:val="center"/>
          </w:tcPr>
          <w:p w14:paraId="3CBAB21E">
            <w:pPr>
              <w:pBdr>
                <w:top w:val="none" w:color="000000" w:sz="0" w:space="0"/>
                <w:left w:val="none" w:color="000000" w:sz="0" w:space="0"/>
                <w:bottom w:val="none" w:color="000000" w:sz="0" w:space="0"/>
                <w:right w:val="none" w:color="000000" w:sz="0" w:space="0"/>
              </w:pBdr>
              <w:spacing w:after="0" w:line="240" w:lineRule="auto"/>
              <w:rPr>
                <w:rFonts w:ascii="宋体" w:hAnsi="宋体" w:eastAsia="宋体" w:cs="宋体"/>
              </w:rPr>
            </w:pPr>
            <w:r>
              <w:rPr>
                <w:rFonts w:hint="eastAsia" w:ascii="宋体" w:hAnsi="宋体" w:eastAsia="宋体" w:cs="宋体"/>
                <w:sz w:val="22"/>
              </w:rPr>
              <w:t> </w:t>
            </w:r>
          </w:p>
        </w:tc>
        <w:tc>
          <w:tcPr>
            <w:tcW w:w="3098" w:type="dxa"/>
            <w:noWrap/>
            <w:tcMar>
              <w:top w:w="0" w:type="dxa"/>
              <w:left w:w="108" w:type="dxa"/>
              <w:bottom w:w="0" w:type="dxa"/>
              <w:right w:w="108" w:type="dxa"/>
            </w:tcMar>
            <w:vAlign w:val="center"/>
          </w:tcPr>
          <w:p w14:paraId="01ED4187">
            <w:pPr>
              <w:pBdr>
                <w:top w:val="none" w:color="000000" w:sz="0" w:space="0"/>
                <w:left w:val="none" w:color="000000" w:sz="0" w:space="0"/>
                <w:bottom w:val="none" w:color="000000" w:sz="0" w:space="0"/>
                <w:right w:val="none" w:color="000000" w:sz="0" w:space="0"/>
              </w:pBdr>
              <w:spacing w:after="0" w:line="400" w:lineRule="atLeast"/>
              <w:rPr>
                <w:rFonts w:ascii="宋体" w:hAnsi="宋体" w:eastAsia="宋体" w:cs="宋体"/>
              </w:rPr>
            </w:pPr>
            <w:r>
              <w:rPr>
                <w:rFonts w:hint="eastAsia" w:ascii="宋体" w:hAnsi="宋体" w:eastAsia="宋体" w:cs="宋体"/>
                <w:sz w:val="22"/>
              </w:rPr>
              <w:t>……</w:t>
            </w:r>
          </w:p>
        </w:tc>
        <w:tc>
          <w:tcPr>
            <w:tcW w:w="1155" w:type="dxa"/>
            <w:noWrap/>
            <w:tcMar>
              <w:top w:w="0" w:type="dxa"/>
              <w:left w:w="108" w:type="dxa"/>
              <w:bottom w:w="0" w:type="dxa"/>
              <w:right w:w="108" w:type="dxa"/>
            </w:tcMar>
            <w:vAlign w:val="center"/>
          </w:tcPr>
          <w:p w14:paraId="135D7583">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 </w:t>
            </w:r>
          </w:p>
        </w:tc>
        <w:tc>
          <w:tcPr>
            <w:tcW w:w="3555" w:type="dxa"/>
            <w:noWrap/>
            <w:tcMar>
              <w:top w:w="0" w:type="dxa"/>
              <w:left w:w="108" w:type="dxa"/>
              <w:bottom w:w="0" w:type="dxa"/>
              <w:right w:w="108" w:type="dxa"/>
            </w:tcMar>
            <w:vAlign w:val="center"/>
          </w:tcPr>
          <w:p w14:paraId="57B0C6C6">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 </w:t>
            </w:r>
          </w:p>
        </w:tc>
        <w:tc>
          <w:tcPr>
            <w:tcW w:w="1425" w:type="dxa"/>
            <w:noWrap/>
            <w:tcMar>
              <w:top w:w="0" w:type="dxa"/>
              <w:left w:w="108" w:type="dxa"/>
              <w:bottom w:w="0" w:type="dxa"/>
              <w:right w:w="108" w:type="dxa"/>
            </w:tcMar>
            <w:vAlign w:val="center"/>
          </w:tcPr>
          <w:p w14:paraId="5A1520FD">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 </w:t>
            </w:r>
          </w:p>
        </w:tc>
      </w:tr>
    </w:tbl>
    <w:p w14:paraId="13D1886B">
      <w:pPr>
        <w:pBdr>
          <w:top w:val="none" w:color="000000" w:sz="0" w:space="0"/>
          <w:left w:val="none" w:color="000000" w:sz="0" w:space="0"/>
          <w:bottom w:val="none" w:color="000000" w:sz="0" w:space="0"/>
          <w:right w:val="none" w:color="000000" w:sz="0" w:space="0"/>
        </w:pBdr>
        <w:spacing w:line="400" w:lineRule="atLeast"/>
        <w:rPr>
          <w:rFonts w:ascii="宋体" w:hAnsi="宋体" w:eastAsia="宋体" w:cs="宋体"/>
        </w:rPr>
      </w:pPr>
      <w:r>
        <w:rPr>
          <w:rFonts w:hint="eastAsia" w:ascii="宋体" w:hAnsi="宋体" w:eastAsia="宋体" w:cs="宋体"/>
          <w:b/>
          <w:sz w:val="22"/>
        </w:rPr>
        <w:t> </w:t>
      </w:r>
    </w:p>
    <w:p w14:paraId="6C4FDB53">
      <w:pPr>
        <w:pBdr>
          <w:top w:val="none" w:color="000000" w:sz="0" w:space="0"/>
          <w:left w:val="none" w:color="000000" w:sz="0" w:space="0"/>
          <w:bottom w:val="none" w:color="000000" w:sz="0" w:space="0"/>
          <w:right w:val="none" w:color="000000" w:sz="0" w:space="0"/>
        </w:pBdr>
        <w:spacing w:line="400" w:lineRule="atLeast"/>
        <w:rPr>
          <w:rFonts w:ascii="宋体" w:hAnsi="宋体" w:eastAsia="宋体" w:cs="宋体"/>
        </w:rPr>
      </w:pPr>
      <w:r>
        <w:rPr>
          <w:rFonts w:hint="eastAsia" w:ascii="宋体" w:hAnsi="宋体" w:eastAsia="宋体" w:cs="宋体"/>
          <w:b/>
          <w:sz w:val="22"/>
        </w:rPr>
        <w:t> </w:t>
      </w:r>
    </w:p>
    <w:p w14:paraId="37A83A37">
      <w:pPr>
        <w:pBdr>
          <w:top w:val="none" w:color="000000" w:sz="0" w:space="0"/>
          <w:left w:val="none" w:color="000000" w:sz="0" w:space="0"/>
          <w:bottom w:val="none" w:color="000000" w:sz="0" w:space="0"/>
          <w:right w:val="none" w:color="000000" w:sz="0" w:space="0"/>
        </w:pBdr>
        <w:spacing w:line="400" w:lineRule="atLeast"/>
        <w:rPr>
          <w:rFonts w:ascii="宋体" w:hAnsi="宋体" w:eastAsia="宋体" w:cs="宋体"/>
        </w:rPr>
      </w:pPr>
      <w:r>
        <w:rPr>
          <w:rFonts w:hint="eastAsia" w:ascii="宋体" w:hAnsi="宋体" w:eastAsia="宋体" w:cs="宋体"/>
          <w:b/>
          <w:sz w:val="22"/>
        </w:rPr>
        <w:t> </w:t>
      </w:r>
    </w:p>
    <w:p w14:paraId="2075DF86">
      <w:pPr>
        <w:pBdr>
          <w:top w:val="none" w:color="000000" w:sz="0" w:space="0"/>
          <w:left w:val="none" w:color="000000" w:sz="0" w:space="0"/>
          <w:bottom w:val="none" w:color="000000" w:sz="0" w:space="0"/>
          <w:right w:val="none" w:color="000000" w:sz="0" w:space="0"/>
        </w:pBdr>
        <w:spacing w:line="400" w:lineRule="atLeast"/>
        <w:rPr>
          <w:rFonts w:ascii="宋体" w:hAnsi="宋体" w:eastAsia="宋体" w:cs="宋体"/>
        </w:rPr>
      </w:pPr>
      <w:r>
        <w:rPr>
          <w:rFonts w:hint="eastAsia" w:ascii="宋体" w:hAnsi="宋体" w:eastAsia="宋体" w:cs="宋体"/>
          <w:b/>
          <w:sz w:val="22"/>
        </w:rPr>
        <w:t> </w:t>
      </w:r>
    </w:p>
    <w:p w14:paraId="6D540640">
      <w:pPr>
        <w:pBdr>
          <w:top w:val="none" w:color="000000" w:sz="0" w:space="0"/>
          <w:left w:val="none" w:color="000000" w:sz="0" w:space="0"/>
          <w:bottom w:val="none" w:color="000000" w:sz="0" w:space="0"/>
          <w:right w:val="none" w:color="000000" w:sz="0" w:space="0"/>
        </w:pBdr>
        <w:rPr>
          <w:rFonts w:hint="eastAsia" w:ascii="宋体" w:hAnsi="宋体" w:eastAsia="宋体" w:cs="宋体"/>
          <w:sz w:val="22"/>
        </w:rPr>
      </w:pPr>
      <w:r>
        <w:rPr>
          <w:rFonts w:hint="eastAsia" w:ascii="宋体" w:hAnsi="宋体" w:eastAsia="宋体" w:cs="宋体"/>
          <w:sz w:val="22"/>
        </w:rPr>
        <w:t>投标人全称（加盖CA电子签章）：</w:t>
      </w:r>
    </w:p>
    <w:p w14:paraId="658EB19F">
      <w:pPr>
        <w:pBdr>
          <w:top w:val="none" w:color="000000" w:sz="0" w:space="0"/>
          <w:left w:val="none" w:color="000000" w:sz="0" w:space="0"/>
          <w:bottom w:val="none" w:color="000000" w:sz="0" w:space="0"/>
          <w:right w:val="none" w:color="000000" w:sz="0" w:space="0"/>
        </w:pBdr>
        <w:rPr>
          <w:rFonts w:ascii="宋体" w:hAnsi="宋体" w:eastAsia="宋体" w:cs="宋体"/>
        </w:rPr>
      </w:pPr>
      <w:r>
        <w:rPr>
          <w:rFonts w:hint="eastAsia" w:ascii="宋体" w:hAnsi="宋体" w:eastAsia="宋体" w:cs="宋体"/>
          <w:sz w:val="22"/>
        </w:rPr>
        <w:t> </w:t>
      </w:r>
    </w:p>
    <w:p w14:paraId="1AF654B8">
      <w:pPr>
        <w:pBdr>
          <w:top w:val="none" w:color="000000" w:sz="0" w:space="0"/>
          <w:left w:val="none" w:color="000000" w:sz="0" w:space="0"/>
          <w:bottom w:val="none" w:color="000000" w:sz="0" w:space="0"/>
          <w:right w:val="none" w:color="000000" w:sz="0" w:space="0"/>
        </w:pBdr>
        <w:rPr>
          <w:rFonts w:ascii="宋体" w:hAnsi="宋体" w:eastAsia="宋体" w:cs="宋体"/>
        </w:rPr>
      </w:pPr>
      <w:r>
        <w:rPr>
          <w:rFonts w:hint="eastAsia" w:ascii="宋体" w:hAnsi="宋体" w:eastAsia="宋体" w:cs="宋体"/>
          <w:sz w:val="22"/>
        </w:rPr>
        <w:t>法定代表人或授权委托人：（签字或盖章）</w:t>
      </w:r>
    </w:p>
    <w:p w14:paraId="779106D0">
      <w:pPr>
        <w:pBdr>
          <w:top w:val="none" w:color="000000" w:sz="0" w:space="0"/>
          <w:left w:val="none" w:color="000000" w:sz="0" w:space="0"/>
          <w:bottom w:val="none" w:color="000000" w:sz="0" w:space="0"/>
          <w:right w:val="none" w:color="000000" w:sz="0" w:space="0"/>
        </w:pBdr>
        <w:spacing w:line="113" w:lineRule="atLeast"/>
        <w:rPr>
          <w:rFonts w:ascii="宋体" w:hAnsi="宋体" w:eastAsia="宋体" w:cs="宋体"/>
        </w:rPr>
      </w:pPr>
      <w:r>
        <w:rPr>
          <w:rFonts w:hint="eastAsia" w:ascii="宋体" w:hAnsi="宋体" w:eastAsia="宋体" w:cs="宋体"/>
          <w:sz w:val="22"/>
        </w:rPr>
        <w:t> </w:t>
      </w:r>
    </w:p>
    <w:p w14:paraId="74CA1C05">
      <w:pPr>
        <w:pBdr>
          <w:top w:val="none" w:color="000000" w:sz="0" w:space="0"/>
          <w:left w:val="none" w:color="000000" w:sz="0" w:space="0"/>
          <w:bottom w:val="none" w:color="000000" w:sz="0" w:space="0"/>
          <w:right w:val="none" w:color="000000" w:sz="0" w:space="0"/>
        </w:pBdr>
        <w:jc w:val="both"/>
        <w:rPr>
          <w:rFonts w:ascii="宋体" w:hAnsi="宋体" w:eastAsia="宋体" w:cs="宋体"/>
        </w:rPr>
      </w:pPr>
      <w:r>
        <w:rPr>
          <w:rFonts w:hint="eastAsia" w:ascii="宋体" w:hAnsi="宋体" w:eastAsia="宋体" w:cs="宋体"/>
          <w:sz w:val="22"/>
        </w:rPr>
        <w:t>日期：</w:t>
      </w:r>
      <w:r>
        <w:rPr>
          <w:rFonts w:hint="eastAsia" w:ascii="宋体" w:hAnsi="宋体" w:eastAsia="宋体" w:cs="宋体"/>
          <w:sz w:val="22"/>
          <w:lang w:val="en-US" w:eastAsia="zh-CN"/>
        </w:rPr>
        <w:t xml:space="preserve">   </w:t>
      </w:r>
      <w:r>
        <w:rPr>
          <w:rFonts w:hint="eastAsia" w:ascii="宋体" w:hAnsi="宋体" w:eastAsia="宋体" w:cs="宋体"/>
          <w:sz w:val="22"/>
        </w:rPr>
        <w:t>年</w:t>
      </w:r>
      <w:r>
        <w:rPr>
          <w:rFonts w:hint="eastAsia" w:ascii="宋体" w:hAnsi="宋体" w:eastAsia="宋体" w:cs="宋体"/>
          <w:sz w:val="22"/>
          <w:lang w:val="en-US" w:eastAsia="zh-CN"/>
        </w:rPr>
        <w:t xml:space="preserve">    </w:t>
      </w:r>
      <w:r>
        <w:rPr>
          <w:rFonts w:hint="eastAsia" w:ascii="宋体" w:hAnsi="宋体" w:eastAsia="宋体" w:cs="宋体"/>
          <w:sz w:val="22"/>
        </w:rPr>
        <w:t>月</w:t>
      </w:r>
      <w:r>
        <w:rPr>
          <w:rFonts w:hint="eastAsia" w:ascii="宋体" w:hAnsi="宋体" w:eastAsia="宋体" w:cs="宋体"/>
          <w:sz w:val="22"/>
          <w:lang w:val="en-US" w:eastAsia="zh-CN"/>
        </w:rPr>
        <w:t xml:space="preserve">    </w:t>
      </w:r>
      <w:r>
        <w:rPr>
          <w:rFonts w:hint="eastAsia" w:ascii="宋体" w:hAnsi="宋体" w:eastAsia="宋体" w:cs="宋体"/>
          <w:sz w:val="22"/>
        </w:rPr>
        <w:t>日</w:t>
      </w:r>
    </w:p>
    <w:p w14:paraId="090FF023">
      <w:pPr>
        <w:pBdr>
          <w:top w:val="none" w:color="000000" w:sz="0" w:space="0"/>
          <w:left w:val="none" w:color="000000" w:sz="0" w:space="0"/>
          <w:bottom w:val="none" w:color="000000" w:sz="0" w:space="0"/>
          <w:right w:val="none" w:color="000000" w:sz="0" w:space="0"/>
        </w:pBdr>
        <w:jc w:val="center"/>
        <w:rPr>
          <w:rFonts w:ascii="宋体" w:hAnsi="宋体" w:eastAsia="宋体" w:cs="宋体"/>
        </w:rPr>
      </w:pPr>
      <w:r>
        <w:rPr>
          <w:rFonts w:hint="eastAsia" w:ascii="宋体" w:hAnsi="宋体" w:eastAsia="宋体" w:cs="宋体"/>
          <w:sz w:val="22"/>
        </w:rPr>
        <w:t> </w:t>
      </w:r>
    </w:p>
    <w:p w14:paraId="37177711">
      <w:pPr>
        <w:widowControl/>
        <w:spacing w:before="50" w:after="50"/>
        <w:jc w:val="both"/>
        <w:rPr>
          <w:rFonts w:hint="eastAsia" w:asciiTheme="minorEastAsia" w:hAnsiTheme="minorEastAsia" w:eastAsiaTheme="minorEastAsia" w:cstheme="minorEastAsia"/>
          <w:color w:val="auto"/>
          <w:sz w:val="32"/>
          <w:szCs w:val="32"/>
          <w:highlight w:val="none"/>
        </w:rPr>
      </w:pPr>
    </w:p>
    <w:p w14:paraId="5AA7FC77">
      <w:pPr>
        <w:widowControl/>
        <w:spacing w:before="50" w:after="50"/>
        <w:jc w:val="both"/>
        <w:rPr>
          <w:rFonts w:hint="eastAsia" w:asciiTheme="minorEastAsia" w:hAnsiTheme="minorEastAsia" w:eastAsiaTheme="minorEastAsia" w:cstheme="minorEastAsia"/>
          <w:color w:val="auto"/>
          <w:sz w:val="32"/>
          <w:szCs w:val="32"/>
          <w:highlight w:val="none"/>
        </w:rPr>
      </w:pPr>
    </w:p>
    <w:p w14:paraId="554810BD">
      <w:pPr>
        <w:widowControl/>
        <w:spacing w:before="50" w:after="50"/>
        <w:jc w:val="both"/>
        <w:rPr>
          <w:rFonts w:hint="eastAsia" w:asciiTheme="minorEastAsia" w:hAnsiTheme="minorEastAsia" w:eastAsiaTheme="minorEastAsia" w:cstheme="minorEastAsia"/>
          <w:color w:val="auto"/>
          <w:sz w:val="32"/>
          <w:szCs w:val="32"/>
          <w:highlight w:val="none"/>
        </w:rPr>
      </w:pPr>
    </w:p>
    <w:p w14:paraId="75B95654">
      <w:pPr>
        <w:widowControl/>
        <w:spacing w:before="50" w:after="50"/>
        <w:jc w:val="both"/>
        <w:rPr>
          <w:rFonts w:hint="eastAsia" w:asciiTheme="minorEastAsia" w:hAnsiTheme="minorEastAsia" w:eastAsiaTheme="minorEastAsia" w:cstheme="minorEastAsia"/>
          <w:color w:val="auto"/>
          <w:sz w:val="32"/>
          <w:szCs w:val="32"/>
          <w:highlight w:val="none"/>
        </w:rPr>
      </w:pPr>
    </w:p>
    <w:p w14:paraId="6A2461E5">
      <w:pPr>
        <w:widowControl/>
        <w:spacing w:before="50" w:after="50"/>
        <w:jc w:val="both"/>
        <w:rPr>
          <w:rFonts w:hint="eastAsia" w:asciiTheme="minorEastAsia" w:hAnsiTheme="minorEastAsia" w:eastAsiaTheme="minorEastAsia" w:cstheme="minorEastAsia"/>
          <w:color w:val="auto"/>
          <w:sz w:val="32"/>
          <w:szCs w:val="32"/>
          <w:highlight w:val="none"/>
        </w:rPr>
      </w:pPr>
    </w:p>
    <w:p w14:paraId="70D3B4C3">
      <w:pPr>
        <w:widowControl/>
        <w:spacing w:before="50" w:after="50"/>
        <w:jc w:val="both"/>
        <w:rPr>
          <w:rFonts w:hint="eastAsia" w:asciiTheme="minorEastAsia" w:hAnsiTheme="minorEastAsia" w:eastAsiaTheme="minorEastAsia" w:cstheme="minorEastAsia"/>
          <w:color w:val="auto"/>
          <w:sz w:val="32"/>
          <w:szCs w:val="32"/>
          <w:highlight w:val="none"/>
        </w:rPr>
      </w:pPr>
    </w:p>
    <w:p w14:paraId="38BE62B5">
      <w:pPr>
        <w:widowControl/>
        <w:spacing w:before="50" w:after="50"/>
        <w:jc w:val="both"/>
        <w:rPr>
          <w:rFonts w:hint="eastAsia" w:asciiTheme="minorEastAsia" w:hAnsiTheme="minorEastAsia" w:eastAsiaTheme="minorEastAsia" w:cstheme="minorEastAsia"/>
          <w:color w:val="auto"/>
          <w:sz w:val="32"/>
          <w:szCs w:val="32"/>
          <w:highlight w:val="none"/>
        </w:rPr>
      </w:pPr>
    </w:p>
    <w:p w14:paraId="259055DA">
      <w:pPr>
        <w:widowControl/>
        <w:spacing w:before="50" w:after="50"/>
        <w:jc w:val="both"/>
        <w:rPr>
          <w:rFonts w:hint="eastAsia" w:asciiTheme="minorEastAsia" w:hAnsiTheme="minorEastAsia" w:eastAsiaTheme="minorEastAsia" w:cstheme="minorEastAsia"/>
          <w:color w:val="auto"/>
          <w:sz w:val="32"/>
          <w:szCs w:val="32"/>
          <w:highlight w:val="none"/>
        </w:rPr>
      </w:pPr>
    </w:p>
    <w:p w14:paraId="0F7DAE8B">
      <w:pPr>
        <w:widowControl/>
        <w:spacing w:before="50" w:after="50"/>
        <w:jc w:val="both"/>
        <w:rPr>
          <w:rFonts w:hint="eastAsia" w:asciiTheme="minorEastAsia" w:hAnsiTheme="minorEastAsia" w:eastAsiaTheme="minorEastAsia" w:cstheme="minorEastAsia"/>
          <w:color w:val="auto"/>
          <w:sz w:val="32"/>
          <w:szCs w:val="32"/>
          <w:highlight w:val="none"/>
        </w:rPr>
      </w:pPr>
    </w:p>
    <w:p w14:paraId="67A7BC1E">
      <w:pPr>
        <w:widowControl/>
        <w:spacing w:before="50" w:after="50"/>
        <w:jc w:val="both"/>
        <w:rPr>
          <w:rFonts w:hint="eastAsia" w:asciiTheme="minorEastAsia" w:hAnsiTheme="minorEastAsia" w:eastAsiaTheme="minorEastAsia" w:cstheme="minorEastAsia"/>
          <w:color w:val="auto"/>
          <w:sz w:val="32"/>
          <w:szCs w:val="32"/>
          <w:highlight w:val="none"/>
        </w:rPr>
      </w:pPr>
    </w:p>
    <w:p w14:paraId="40676DE1">
      <w:pPr>
        <w:widowControl/>
        <w:spacing w:before="50" w:after="50"/>
        <w:jc w:val="both"/>
        <w:rPr>
          <w:rFonts w:hint="eastAsia" w:asciiTheme="minorEastAsia" w:hAnsiTheme="minorEastAsia" w:eastAsiaTheme="minorEastAsia" w:cstheme="minorEastAsia"/>
          <w:color w:val="auto"/>
          <w:sz w:val="32"/>
          <w:szCs w:val="32"/>
          <w:highlight w:val="none"/>
        </w:rPr>
      </w:pPr>
    </w:p>
    <w:p w14:paraId="19754559">
      <w:pPr>
        <w:widowControl/>
        <w:spacing w:before="50" w:after="50"/>
        <w:jc w:val="both"/>
        <w:rPr>
          <w:rFonts w:hint="eastAsia" w:asciiTheme="minorEastAsia" w:hAnsiTheme="minorEastAsia" w:eastAsiaTheme="minorEastAsia" w:cstheme="minorEastAsia"/>
          <w:color w:val="auto"/>
          <w:sz w:val="32"/>
          <w:szCs w:val="32"/>
          <w:highlight w:val="none"/>
        </w:rPr>
      </w:pPr>
    </w:p>
    <w:p w14:paraId="40ED004B">
      <w:pPr>
        <w:widowControl/>
        <w:spacing w:before="50" w:after="50"/>
        <w:jc w:val="both"/>
        <w:rPr>
          <w:rFonts w:hint="eastAsia" w:asciiTheme="minorEastAsia" w:hAnsiTheme="minorEastAsia" w:eastAsiaTheme="minorEastAsia" w:cstheme="minorEastAsia"/>
          <w:color w:val="auto"/>
          <w:sz w:val="32"/>
          <w:szCs w:val="32"/>
          <w:highlight w:val="none"/>
        </w:rPr>
      </w:pPr>
    </w:p>
    <w:p w14:paraId="2536440D">
      <w:pPr>
        <w:widowControl/>
        <w:spacing w:before="50" w:after="50"/>
        <w:jc w:val="both"/>
        <w:rPr>
          <w:rFonts w:hint="eastAsia" w:asciiTheme="minorEastAsia" w:hAnsiTheme="minorEastAsia" w:eastAsiaTheme="minorEastAsia" w:cstheme="minorEastAsia"/>
          <w:color w:val="auto"/>
          <w:sz w:val="32"/>
          <w:szCs w:val="32"/>
          <w:highlight w:val="none"/>
        </w:rPr>
      </w:pPr>
    </w:p>
    <w:p w14:paraId="1520B457">
      <w:pPr>
        <w:widowControl/>
        <w:spacing w:before="50" w:after="50"/>
        <w:jc w:val="both"/>
        <w:rPr>
          <w:rFonts w:hint="eastAsia" w:asciiTheme="minorEastAsia" w:hAnsiTheme="minorEastAsia" w:eastAsiaTheme="minorEastAsia" w:cstheme="minorEastAsia"/>
          <w:color w:val="auto"/>
          <w:sz w:val="32"/>
          <w:szCs w:val="32"/>
          <w:highlight w:val="none"/>
        </w:rPr>
      </w:pPr>
    </w:p>
    <w:p w14:paraId="45BE0BB9">
      <w:pPr>
        <w:widowControl/>
        <w:spacing w:before="50" w:after="50"/>
        <w:jc w:val="both"/>
        <w:rPr>
          <w:rFonts w:hint="eastAsia" w:asciiTheme="minorEastAsia" w:hAnsiTheme="minorEastAsia" w:eastAsiaTheme="minorEastAsia" w:cstheme="minorEastAsia"/>
          <w:color w:val="auto"/>
          <w:sz w:val="32"/>
          <w:szCs w:val="32"/>
          <w:highlight w:val="none"/>
        </w:rPr>
      </w:pPr>
    </w:p>
    <w:p w14:paraId="06718B6A">
      <w:pPr>
        <w:widowControl/>
        <w:spacing w:before="50" w:after="50"/>
        <w:jc w:val="center"/>
        <w:rPr>
          <w:rFonts w:hint="eastAsia" w:asciiTheme="minorEastAsia" w:hAnsiTheme="minorEastAsia" w:eastAsiaTheme="minorEastAsia" w:cstheme="minorEastAsia"/>
          <w:color w:val="auto"/>
          <w:sz w:val="32"/>
          <w:szCs w:val="32"/>
          <w:highlight w:val="none"/>
        </w:rPr>
      </w:pPr>
    </w:p>
    <w:p w14:paraId="5BF6D1B0">
      <w:pPr>
        <w:widowControl/>
        <w:spacing w:before="50" w:after="5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32"/>
          <w:szCs w:val="32"/>
          <w:highlight w:val="none"/>
        </w:rPr>
        <w:t>十</w:t>
      </w:r>
      <w:r>
        <w:rPr>
          <w:rFonts w:hint="eastAsia" w:asciiTheme="minorEastAsia" w:hAnsiTheme="minorEastAsia" w:cstheme="minorEastAsia"/>
          <w:color w:val="auto"/>
          <w:sz w:val="32"/>
          <w:szCs w:val="32"/>
          <w:highlight w:val="none"/>
          <w:lang w:val="en-US" w:eastAsia="zh-CN"/>
        </w:rPr>
        <w:t>六</w:t>
      </w:r>
      <w:r>
        <w:rPr>
          <w:rFonts w:hint="eastAsia" w:asciiTheme="minorEastAsia" w:hAnsiTheme="minorEastAsia" w:eastAsiaTheme="minorEastAsia" w:cstheme="minorEastAsia"/>
          <w:color w:val="auto"/>
          <w:sz w:val="32"/>
          <w:szCs w:val="32"/>
          <w:highlight w:val="none"/>
        </w:rPr>
        <w:t>、</w:t>
      </w:r>
      <w:r>
        <w:rPr>
          <w:rFonts w:hint="eastAsia" w:ascii="宋体" w:hAnsi="宋体" w:eastAsia="宋体" w:cs="宋体"/>
          <w:color w:val="auto"/>
          <w:sz w:val="32"/>
          <w:szCs w:val="32"/>
          <w:highlight w:val="none"/>
          <w:lang w:val="en-US" w:eastAsia="zh-CN"/>
        </w:rPr>
        <w:t>服务</w:t>
      </w:r>
      <w:r>
        <w:rPr>
          <w:rFonts w:hint="eastAsia" w:ascii="宋体" w:hAnsi="宋体" w:eastAsia="宋体" w:cs="宋体"/>
          <w:color w:val="auto"/>
          <w:sz w:val="32"/>
          <w:szCs w:val="32"/>
          <w:highlight w:val="none"/>
        </w:rPr>
        <w:t>方案</w:t>
      </w:r>
    </w:p>
    <w:p w14:paraId="3C433AF9">
      <w:pPr>
        <w:pStyle w:val="36"/>
        <w:tabs>
          <w:tab w:val="left" w:pos="2160"/>
        </w:tabs>
        <w:spacing w:beforeAutospacing="0" w:afterAutospacing="0"/>
        <w:jc w:val="both"/>
        <w:rPr>
          <w:rFonts w:hint="eastAsia" w:asciiTheme="minorEastAsia" w:hAnsiTheme="minorEastAsia" w:eastAsiaTheme="minorEastAsia" w:cstheme="minorEastAsia"/>
          <w:color w:val="auto"/>
          <w:highlight w:val="none"/>
        </w:rPr>
      </w:pPr>
    </w:p>
    <w:p w14:paraId="12DC6B2F">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3377A896">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5AD26C26">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72D10452">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48491F2B">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2F6B5F5C">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288D7632">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7DE0C2DD">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77AB15CA">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5D668D9A">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6651F598">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53204F1B">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037AA5AF">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2B04AE6F">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39D51AE1">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4A22D318">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61B4EC65">
      <w:pPr>
        <w:pStyle w:val="5"/>
        <w:rPr>
          <w:rFonts w:hint="eastAsia" w:asciiTheme="minorEastAsia" w:hAnsiTheme="minorEastAsia" w:eastAsiaTheme="minorEastAsia" w:cstheme="minorEastAsia"/>
          <w:color w:val="auto"/>
          <w:sz w:val="32"/>
          <w:szCs w:val="32"/>
          <w:highlight w:val="none"/>
        </w:rPr>
      </w:pPr>
    </w:p>
    <w:p w14:paraId="0C7E63E2">
      <w:pPr>
        <w:pStyle w:val="4"/>
        <w:rPr>
          <w:rFonts w:hint="eastAsia" w:asciiTheme="minorEastAsia" w:hAnsiTheme="minorEastAsia" w:eastAsiaTheme="minorEastAsia" w:cstheme="minorEastAsia"/>
          <w:color w:val="auto"/>
          <w:sz w:val="32"/>
          <w:szCs w:val="32"/>
          <w:highlight w:val="none"/>
        </w:rPr>
      </w:pPr>
    </w:p>
    <w:p w14:paraId="09B9220B">
      <w:pPr>
        <w:pStyle w:val="4"/>
        <w:rPr>
          <w:rFonts w:hint="eastAsia" w:asciiTheme="minorEastAsia" w:hAnsiTheme="minorEastAsia" w:eastAsiaTheme="minorEastAsia" w:cstheme="minorEastAsia"/>
          <w:color w:val="auto"/>
          <w:sz w:val="32"/>
          <w:szCs w:val="32"/>
          <w:highlight w:val="none"/>
        </w:rPr>
      </w:pPr>
    </w:p>
    <w:p w14:paraId="23078ED3">
      <w:pPr>
        <w:pStyle w:val="4"/>
        <w:rPr>
          <w:rFonts w:hint="eastAsia" w:asciiTheme="minorEastAsia" w:hAnsiTheme="minorEastAsia" w:eastAsiaTheme="minorEastAsia" w:cstheme="minorEastAsia"/>
          <w:color w:val="auto"/>
          <w:sz w:val="32"/>
          <w:szCs w:val="32"/>
          <w:highlight w:val="none"/>
        </w:rPr>
      </w:pPr>
    </w:p>
    <w:p w14:paraId="3F91BA49">
      <w:pPr>
        <w:pStyle w:val="4"/>
        <w:rPr>
          <w:rFonts w:hint="eastAsia" w:asciiTheme="minorEastAsia" w:hAnsiTheme="minorEastAsia" w:eastAsiaTheme="minorEastAsia" w:cstheme="minorEastAsia"/>
          <w:color w:val="auto"/>
          <w:sz w:val="32"/>
          <w:szCs w:val="32"/>
          <w:highlight w:val="none"/>
        </w:rPr>
      </w:pPr>
    </w:p>
    <w:p w14:paraId="0463B587">
      <w:pPr>
        <w:pStyle w:val="4"/>
        <w:rPr>
          <w:rFonts w:hint="eastAsia" w:asciiTheme="minorEastAsia" w:hAnsiTheme="minorEastAsia" w:eastAsiaTheme="minorEastAsia" w:cstheme="minorEastAsia"/>
          <w:color w:val="auto"/>
          <w:sz w:val="32"/>
          <w:szCs w:val="32"/>
          <w:highlight w:val="none"/>
        </w:rPr>
      </w:pPr>
    </w:p>
    <w:p w14:paraId="11C8F1D2">
      <w:pPr>
        <w:pStyle w:val="4"/>
        <w:rPr>
          <w:rFonts w:hint="eastAsia" w:asciiTheme="minorEastAsia" w:hAnsiTheme="minorEastAsia" w:eastAsiaTheme="minorEastAsia" w:cstheme="minorEastAsia"/>
          <w:color w:val="auto"/>
          <w:sz w:val="32"/>
          <w:szCs w:val="32"/>
          <w:highlight w:val="none"/>
        </w:rPr>
      </w:pPr>
    </w:p>
    <w:p w14:paraId="7080232A">
      <w:pPr>
        <w:pStyle w:val="4"/>
        <w:rPr>
          <w:rFonts w:hint="eastAsia" w:asciiTheme="minorEastAsia" w:hAnsiTheme="minorEastAsia" w:eastAsiaTheme="minorEastAsia" w:cstheme="minorEastAsia"/>
          <w:color w:val="auto"/>
          <w:sz w:val="32"/>
          <w:szCs w:val="32"/>
          <w:highlight w:val="none"/>
        </w:rPr>
      </w:pPr>
    </w:p>
    <w:p w14:paraId="205016F6">
      <w:pPr>
        <w:pStyle w:val="4"/>
        <w:rPr>
          <w:rFonts w:hint="eastAsia" w:asciiTheme="minorEastAsia" w:hAnsiTheme="minorEastAsia" w:eastAsiaTheme="minorEastAsia" w:cstheme="minorEastAsia"/>
          <w:color w:val="auto"/>
          <w:sz w:val="32"/>
          <w:szCs w:val="32"/>
          <w:highlight w:val="none"/>
        </w:rPr>
      </w:pPr>
    </w:p>
    <w:p w14:paraId="2855F9FC">
      <w:pPr>
        <w:pStyle w:val="4"/>
        <w:rPr>
          <w:rFonts w:hint="eastAsia" w:asciiTheme="minorEastAsia" w:hAnsiTheme="minorEastAsia" w:eastAsiaTheme="minorEastAsia" w:cstheme="minorEastAsia"/>
          <w:color w:val="auto"/>
          <w:sz w:val="32"/>
          <w:szCs w:val="32"/>
          <w:highlight w:val="none"/>
        </w:rPr>
      </w:pPr>
    </w:p>
    <w:p w14:paraId="20AD93C7">
      <w:pPr>
        <w:pStyle w:val="4"/>
        <w:rPr>
          <w:rFonts w:hint="eastAsia" w:asciiTheme="minorEastAsia" w:hAnsiTheme="minorEastAsia" w:eastAsiaTheme="minorEastAsia" w:cstheme="minorEastAsia"/>
          <w:color w:val="auto"/>
          <w:sz w:val="32"/>
          <w:szCs w:val="32"/>
          <w:highlight w:val="none"/>
        </w:rPr>
      </w:pPr>
    </w:p>
    <w:p w14:paraId="713CAD2A">
      <w:pPr>
        <w:rPr>
          <w:rFonts w:hint="eastAsia"/>
          <w:color w:val="auto"/>
          <w:highlight w:val="none"/>
        </w:rPr>
      </w:pPr>
    </w:p>
    <w:p w14:paraId="2265A57E">
      <w:pPr>
        <w:pStyle w:val="4"/>
        <w:rPr>
          <w:rFonts w:hint="eastAsia" w:asciiTheme="minorEastAsia" w:hAnsiTheme="minorEastAsia" w:eastAsiaTheme="minorEastAsia" w:cstheme="minorEastAsia"/>
          <w:color w:val="auto"/>
          <w:sz w:val="32"/>
          <w:szCs w:val="32"/>
          <w:highlight w:val="none"/>
        </w:rPr>
      </w:pPr>
    </w:p>
    <w:p w14:paraId="6B08ACB1">
      <w:pPr>
        <w:pStyle w:val="39"/>
        <w:ind w:left="0" w:firstLine="0"/>
        <w:rPr>
          <w:rFonts w:hint="eastAsia" w:asciiTheme="minorEastAsia" w:hAnsiTheme="minorEastAsia" w:eastAsiaTheme="minorEastAsia" w:cstheme="minorEastAsia"/>
          <w:color w:val="auto"/>
          <w:sz w:val="32"/>
          <w:szCs w:val="32"/>
          <w:highlight w:val="none"/>
        </w:rPr>
      </w:pPr>
    </w:p>
    <w:p w14:paraId="1AB9C3C8">
      <w:pPr>
        <w:widowControl/>
        <w:spacing w:line="499" w:lineRule="atLeast"/>
        <w:jc w:val="center"/>
        <w:rPr>
          <w:rFonts w:hint="eastAsia" w:asciiTheme="minorEastAsia" w:hAnsiTheme="minorEastAsia" w:eastAsiaTheme="minorEastAsia" w:cstheme="minorEastAsia"/>
          <w:color w:val="auto"/>
          <w:sz w:val="32"/>
          <w:szCs w:val="32"/>
          <w:highlight w:val="none"/>
        </w:rPr>
      </w:pPr>
    </w:p>
    <w:p w14:paraId="7E0C73EB">
      <w:pPr>
        <w:widowControl/>
        <w:spacing w:line="499" w:lineRule="atLeas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32"/>
          <w:szCs w:val="32"/>
          <w:highlight w:val="none"/>
        </w:rPr>
        <w:t>十</w:t>
      </w:r>
      <w:r>
        <w:rPr>
          <w:rFonts w:hint="eastAsia" w:asciiTheme="minorEastAsia" w:hAnsiTheme="minorEastAsia" w:cstheme="minorEastAsia"/>
          <w:color w:val="auto"/>
          <w:sz w:val="32"/>
          <w:szCs w:val="32"/>
          <w:highlight w:val="none"/>
          <w:lang w:val="en-US" w:eastAsia="zh-CN"/>
        </w:rPr>
        <w:t>七</w:t>
      </w:r>
      <w:r>
        <w:rPr>
          <w:rFonts w:hint="eastAsia" w:asciiTheme="minorEastAsia" w:hAnsiTheme="minorEastAsia" w:eastAsiaTheme="minorEastAsia" w:cstheme="minorEastAsia"/>
          <w:color w:val="auto"/>
          <w:sz w:val="32"/>
          <w:szCs w:val="32"/>
          <w:highlight w:val="none"/>
        </w:rPr>
        <w:t>、盐城市政府采购事前信用承诺书</w:t>
      </w:r>
    </w:p>
    <w:p w14:paraId="590A2265">
      <w:pPr>
        <w:widowControl/>
        <w:spacing w:line="499" w:lineRule="atLeast"/>
        <w:ind w:firstLine="64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32"/>
          <w:szCs w:val="32"/>
          <w:highlight w:val="none"/>
        </w:rPr>
        <w:t> </w:t>
      </w:r>
    </w:p>
    <w:p w14:paraId="6C871832">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w:t>
      </w:r>
      <w:r>
        <w:rPr>
          <w:rFonts w:hint="eastAsia" w:eastAsia="宋体" w:asciiTheme="minorEastAsia" w:hAnsi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为营造我市公开、公平、公正、诚实守信的政府采购交易环境，树立诚信守法的投标人形象，本人代表本单位作出以下承诺：</w:t>
      </w:r>
    </w:p>
    <w:p w14:paraId="6072089E">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w:t>
      </w:r>
      <w:r>
        <w:rPr>
          <w:rFonts w:hint="eastAsia" w:eastAsia="宋体" w:asciiTheme="minorEastAsia" w:hAnsi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09C81C4B">
      <w:pPr>
        <w:widowControl/>
        <w:spacing w:line="499" w:lineRule="atLeast"/>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AA5DDEB">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w:t>
      </w:r>
      <w:r>
        <w:rPr>
          <w:rFonts w:hint="eastAsia" w:eastAsia="宋体" w:asciiTheme="minorEastAsia" w:hAnsi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（三）严格依照国家和省、市关于政府采购的法律、法规、规章、规范性文件，参加政府采购投标活动；积极履行社会责任，促进廉政建设； </w:t>
      </w:r>
    </w:p>
    <w:p w14:paraId="31EECAD0">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w:t>
      </w:r>
      <w:r>
        <w:rPr>
          <w:rFonts w:hint="eastAsia" w:eastAsia="宋体" w:asciiTheme="minorEastAsia" w:hAnsi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（四）严格遵守即时信息公示规定，及时维护和更新维护和更新盐城市政府采购网中与本单位相关的信息；</w:t>
      </w:r>
    </w:p>
    <w:p w14:paraId="17C02008">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w:t>
      </w:r>
      <w:r>
        <w:rPr>
          <w:rFonts w:hint="eastAsia" w:eastAsia="宋体" w:asciiTheme="minorEastAsia" w:hAnsi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65DBFE5F">
      <w:pPr>
        <w:widowControl/>
        <w:spacing w:line="499" w:lineRule="atLeast"/>
        <w:ind w:firstLine="32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（六）自觉接受政府、行业组织、社会公众、新闻舆论的监督；</w:t>
      </w:r>
    </w:p>
    <w:p w14:paraId="254DF256">
      <w:pPr>
        <w:widowControl/>
        <w:spacing w:line="499" w:lineRule="atLeast"/>
        <w:ind w:firstLine="32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69F0F92">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w:t>
      </w:r>
      <w:r>
        <w:rPr>
          <w:rFonts w:hint="eastAsia" w:eastAsia="宋体" w:asciiTheme="minorEastAsia" w:hAnsi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（八）本人已认真阅读了上述承诺，并向本单位员工作了宣传教育。</w:t>
      </w:r>
    </w:p>
    <w:p w14:paraId="2305EB3F">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w:t>
      </w:r>
      <w:r>
        <w:rPr>
          <w:rFonts w:hint="eastAsia" w:eastAsia="宋体" w:asciiTheme="minorEastAsia" w:hAnsi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法定代表人签名</w:t>
      </w:r>
      <w:r>
        <w:rPr>
          <w:rFonts w:ascii="宋体" w:hAnsi="宋体" w:eastAsia="宋体" w:cs="宋体"/>
          <w:color w:val="auto"/>
          <w:sz w:val="24"/>
          <w:highlight w:val="none"/>
        </w:rPr>
        <w:t>（签字或盖章）</w:t>
      </w:r>
      <w:r>
        <w:rPr>
          <w:rFonts w:hint="eastAsia" w:asciiTheme="minorEastAsia" w:hAnsiTheme="minorEastAsia" w:eastAsiaTheme="minorEastAsia" w:cstheme="minorEastAsia"/>
          <w:color w:val="auto"/>
          <w:sz w:val="24"/>
          <w:highlight w:val="none"/>
        </w:rPr>
        <w:t>：</w:t>
      </w:r>
    </w:p>
    <w:p w14:paraId="4BD95BB4">
      <w:pPr>
        <w:widowControl/>
        <w:spacing w:line="499" w:lineRule="atLeas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单位名称（</w:t>
      </w:r>
      <w:r>
        <w:rPr>
          <w:rFonts w:hint="eastAsia" w:ascii="宋体" w:hAnsi="宋体" w:eastAsia="宋体" w:cs="宋体"/>
          <w:color w:val="auto"/>
          <w:sz w:val="24"/>
          <w:highlight w:val="none"/>
        </w:rPr>
        <w:t>加盖CA电子签章</w:t>
      </w:r>
      <w:r>
        <w:rPr>
          <w:rFonts w:hint="eastAsia" w:asciiTheme="minorEastAsia" w:hAnsiTheme="minorEastAsia" w:eastAsiaTheme="minorEastAsia" w:cstheme="minorEastAsia"/>
          <w:color w:val="auto"/>
          <w:sz w:val="24"/>
          <w:highlight w:val="none"/>
        </w:rPr>
        <w:t>）：</w:t>
      </w:r>
    </w:p>
    <w:p w14:paraId="7908E720">
      <w:pPr>
        <w:widowControl/>
        <w:spacing w:line="499" w:lineRule="atLeas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年月日</w:t>
      </w:r>
    </w:p>
    <w:p w14:paraId="681D9C13">
      <w:pPr>
        <w:pStyle w:val="47"/>
        <w:rPr>
          <w:rFonts w:hint="eastAsia" w:asciiTheme="minorEastAsia" w:hAnsiTheme="minorEastAsia" w:eastAsiaTheme="minorEastAsia" w:cstheme="minorEastAsia"/>
          <w:color w:val="auto"/>
          <w:sz w:val="24"/>
          <w:highlight w:val="none"/>
        </w:rPr>
      </w:pPr>
    </w:p>
    <w:p w14:paraId="5DADF38B">
      <w:pPr>
        <w:pStyle w:val="47"/>
        <w:rPr>
          <w:rFonts w:hint="eastAsia" w:asciiTheme="minorEastAsia" w:hAnsiTheme="minorEastAsia" w:eastAsiaTheme="minorEastAsia" w:cstheme="minorEastAsia"/>
          <w:color w:val="auto"/>
          <w:sz w:val="24"/>
          <w:highlight w:val="none"/>
        </w:rPr>
      </w:pPr>
    </w:p>
    <w:p w14:paraId="3E53CFDC">
      <w:pPr>
        <w:pStyle w:val="47"/>
        <w:rPr>
          <w:rFonts w:hint="eastAsia" w:asciiTheme="minorEastAsia" w:hAnsiTheme="minorEastAsia" w:eastAsiaTheme="minorEastAsia" w:cstheme="minorEastAsia"/>
          <w:color w:val="auto"/>
          <w:sz w:val="24"/>
          <w:highlight w:val="none"/>
        </w:rPr>
      </w:pPr>
    </w:p>
    <w:p w14:paraId="1EC37C2F">
      <w:pPr>
        <w:pStyle w:val="47"/>
        <w:rPr>
          <w:rFonts w:hint="eastAsia" w:asciiTheme="minorEastAsia" w:hAnsiTheme="minorEastAsia" w:eastAsiaTheme="minorEastAsia" w:cstheme="minorEastAsia"/>
          <w:color w:val="auto"/>
          <w:sz w:val="24"/>
          <w:highlight w:val="none"/>
        </w:rPr>
      </w:pPr>
    </w:p>
    <w:bookmarkEnd w:id="188"/>
    <w:bookmarkEnd w:id="192"/>
    <w:bookmarkEnd w:id="193"/>
    <w:bookmarkEnd w:id="195"/>
    <w:bookmarkEnd w:id="196"/>
    <w:bookmarkEnd w:id="197"/>
    <w:bookmarkEnd w:id="198"/>
    <w:bookmarkEnd w:id="207"/>
    <w:bookmarkEnd w:id="208"/>
    <w:bookmarkEnd w:id="209"/>
    <w:bookmarkEnd w:id="210"/>
    <w:bookmarkEnd w:id="211"/>
    <w:p w14:paraId="16959280">
      <w:pPr>
        <w:pStyle w:val="47"/>
        <w:rPr>
          <w:rFonts w:hint="eastAsia" w:asciiTheme="minorEastAsia" w:hAnsiTheme="minorEastAsia" w:eastAsiaTheme="minorEastAsia" w:cstheme="minorEastAsia"/>
          <w:color w:val="auto"/>
          <w:sz w:val="24"/>
          <w:highlight w:val="none"/>
        </w:rPr>
      </w:pPr>
    </w:p>
    <w:p w14:paraId="401DE7D9">
      <w:pPr>
        <w:pStyle w:val="47"/>
        <w:rPr>
          <w:rFonts w:hint="eastAsia" w:asciiTheme="minorEastAsia" w:hAnsiTheme="minorEastAsia" w:eastAsiaTheme="minorEastAsia" w:cstheme="minorEastAsia"/>
          <w:color w:val="auto"/>
          <w:sz w:val="24"/>
          <w:highlight w:val="none"/>
        </w:rPr>
      </w:pPr>
    </w:p>
    <w:p w14:paraId="1563A834">
      <w:pPr>
        <w:pStyle w:val="47"/>
        <w:rPr>
          <w:rFonts w:hint="eastAsia" w:asciiTheme="minorEastAsia" w:hAnsiTheme="minorEastAsia" w:eastAsiaTheme="minorEastAsia" w:cstheme="minorEastAsia"/>
          <w:color w:val="auto"/>
          <w:sz w:val="24"/>
          <w:highlight w:val="none"/>
        </w:rPr>
      </w:pPr>
    </w:p>
    <w:p w14:paraId="3CFB6DCF">
      <w:pPr>
        <w:pStyle w:val="47"/>
        <w:rPr>
          <w:rFonts w:hint="eastAsia" w:asciiTheme="minorEastAsia" w:hAnsiTheme="minorEastAsia" w:eastAsiaTheme="minorEastAsia" w:cstheme="minorEastAsia"/>
          <w:color w:val="auto"/>
          <w:sz w:val="24"/>
          <w:highlight w:val="none"/>
        </w:rPr>
      </w:pPr>
    </w:p>
    <w:p w14:paraId="23FBB18E">
      <w:pPr>
        <w:rPr>
          <w:rFonts w:hint="eastAsia" w:asciiTheme="minorEastAsia" w:hAnsiTheme="minorEastAsia" w:eastAsiaTheme="minorEastAsia" w:cstheme="minorEastAsia"/>
          <w:color w:val="auto"/>
          <w:highlight w:val="none"/>
        </w:rPr>
      </w:pPr>
    </w:p>
    <w:p w14:paraId="09079240">
      <w:pPr>
        <w:pStyle w:val="36"/>
        <w:spacing w:beforeAutospacing="0" w:afterAutospacing="0"/>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质疑函范本</w:t>
      </w:r>
    </w:p>
    <w:p w14:paraId="1E05AF25">
      <w:pPr>
        <w:pStyle w:val="36"/>
        <w:keepNext w:val="0"/>
        <w:keepLines w:val="0"/>
        <w:pageBreakBefore w:val="0"/>
        <w:widowControl w:val="0"/>
        <w:spacing w:before="290"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一、质疑供应商基本信息</w:t>
      </w:r>
    </w:p>
    <w:p w14:paraId="395A65DD">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质疑供应商：</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358DF721">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地址：</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w:t>
      </w:r>
    </w:p>
    <w:p w14:paraId="516941AF">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邮编：</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022D02E3">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联系人：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42EB82E1">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联系电话：</w:t>
      </w:r>
      <w:r>
        <w:rPr>
          <w:rFonts w:hint="eastAsia" w:asciiTheme="minorEastAsia" w:hAnsiTheme="minorEastAsia" w:eastAsiaTheme="minorEastAsia" w:cstheme="minorEastAsia"/>
          <w:color w:val="auto"/>
          <w:highlight w:val="none"/>
          <w:u w:val="single"/>
        </w:rPr>
        <w:t xml:space="preserve">                                           </w:t>
      </w:r>
    </w:p>
    <w:p w14:paraId="07AB1FDF">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授权代表：</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77721BD1">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联系电话：</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2E3A502E">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地址： </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02772296">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邮编：</w:t>
      </w:r>
      <w:r>
        <w:rPr>
          <w:rFonts w:hint="eastAsia" w:asciiTheme="minorEastAsia" w:hAnsiTheme="minorEastAsia" w:eastAsiaTheme="minorEastAsia" w:cstheme="minorEastAsia"/>
          <w:color w:val="auto"/>
          <w:highlight w:val="none"/>
          <w:u w:val="single"/>
        </w:rPr>
        <w:t xml:space="preserve">                                </w:t>
      </w:r>
    </w:p>
    <w:p w14:paraId="5C01362A">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二、质疑项目基本情况</w:t>
      </w:r>
    </w:p>
    <w:p w14:paraId="2ED29163">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质疑项目的名称：</w:t>
      </w:r>
      <w:r>
        <w:rPr>
          <w:rFonts w:hint="eastAsia" w:asciiTheme="minorEastAsia" w:hAnsiTheme="minorEastAsia" w:eastAsiaTheme="minorEastAsia" w:cstheme="minorEastAsia"/>
          <w:color w:val="auto"/>
          <w:highlight w:val="none"/>
          <w:u w:val="single"/>
        </w:rPr>
        <w:t xml:space="preserve">                            </w:t>
      </w:r>
    </w:p>
    <w:p w14:paraId="761A47B6">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质疑项目的编号：</w:t>
      </w:r>
      <w:r>
        <w:rPr>
          <w:rFonts w:hint="eastAsia" w:asciiTheme="minorEastAsia" w:hAnsiTheme="minorEastAsia" w:eastAsiaTheme="minorEastAsia" w:cstheme="minorEastAsia"/>
          <w:color w:val="auto"/>
          <w:highlight w:val="none"/>
          <w:u w:val="single"/>
        </w:rPr>
        <w:t xml:space="preserve">                          </w:t>
      </w:r>
    </w:p>
    <w:p w14:paraId="7365458B">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包号：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71E5CEE0">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采购人名称：</w:t>
      </w:r>
      <w:r>
        <w:rPr>
          <w:rFonts w:hint="eastAsia" w:asciiTheme="minorEastAsia" w:hAnsiTheme="minorEastAsia" w:eastAsiaTheme="minorEastAsia" w:cstheme="minorEastAsia"/>
          <w:color w:val="auto"/>
          <w:highlight w:val="none"/>
          <w:u w:val="single"/>
        </w:rPr>
        <w:t xml:space="preserve">                            </w:t>
      </w:r>
    </w:p>
    <w:p w14:paraId="1DD535FD">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采购文件获取日期：</w:t>
      </w:r>
      <w:r>
        <w:rPr>
          <w:rFonts w:hint="eastAsia" w:asciiTheme="minorEastAsia" w:hAnsiTheme="minorEastAsia" w:eastAsiaTheme="minorEastAsia" w:cstheme="minorEastAsia"/>
          <w:color w:val="auto"/>
          <w:highlight w:val="none"/>
          <w:u w:val="single"/>
        </w:rPr>
        <w:t xml:space="preserve">                             </w:t>
      </w:r>
    </w:p>
    <w:p w14:paraId="59366686">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三、质疑事项具体内容</w:t>
      </w:r>
    </w:p>
    <w:p w14:paraId="5FCDE708">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质疑事项1：</w:t>
      </w:r>
      <w:r>
        <w:rPr>
          <w:rFonts w:hint="eastAsia" w:asciiTheme="minorEastAsia" w:hAnsiTheme="minorEastAsia" w:eastAsiaTheme="minorEastAsia" w:cstheme="minorEastAsia"/>
          <w:color w:val="auto"/>
          <w:highlight w:val="none"/>
          <w:u w:val="single"/>
        </w:rPr>
        <w:t xml:space="preserve">                             </w:t>
      </w:r>
    </w:p>
    <w:p w14:paraId="47A11D92">
      <w:pPr>
        <w:pStyle w:val="36"/>
        <w:keepNext w:val="0"/>
        <w:keepLines w:val="0"/>
        <w:pageBreakBefore w:val="0"/>
        <w:widowControl w:val="0"/>
        <w:spacing w:beforeAutospacing="0" w:afterAutospacing="0"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事实依据：</w:t>
      </w:r>
      <w:r>
        <w:rPr>
          <w:rFonts w:hint="eastAsia" w:asciiTheme="minorEastAsia" w:hAnsiTheme="minorEastAsia" w:eastAsiaTheme="minorEastAsia" w:cstheme="minorEastAsia"/>
          <w:color w:val="auto"/>
          <w:highlight w:val="none"/>
          <w:u w:val="single"/>
        </w:rPr>
        <w:t xml:space="preserve">                                                   </w:t>
      </w:r>
    </w:p>
    <w:p w14:paraId="103782FD">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法律依据：</w:t>
      </w:r>
      <w:r>
        <w:rPr>
          <w:rFonts w:hint="eastAsia" w:asciiTheme="minorEastAsia" w:hAnsiTheme="minorEastAsia" w:eastAsiaTheme="minorEastAsia" w:cstheme="minorEastAsia"/>
          <w:color w:val="auto"/>
          <w:highlight w:val="none"/>
          <w:u w:val="single"/>
        </w:rPr>
        <w:t xml:space="preserve">                                                    </w:t>
      </w:r>
    </w:p>
    <w:p w14:paraId="756D7756">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质疑事项2</w:t>
      </w:r>
    </w:p>
    <w:p w14:paraId="1F9876A9">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59CD0EC2">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四、与质疑事项相关的质疑请求</w:t>
      </w:r>
    </w:p>
    <w:p w14:paraId="5726906E">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请求：</w:t>
      </w:r>
      <w:r>
        <w:rPr>
          <w:rFonts w:hint="eastAsia" w:asciiTheme="minorEastAsia" w:hAnsiTheme="minorEastAsia" w:eastAsiaTheme="minorEastAsia" w:cstheme="minorEastAsia"/>
          <w:color w:val="auto"/>
          <w:highlight w:val="none"/>
          <w:u w:val="single"/>
        </w:rPr>
        <w:t xml:space="preserve">                                                          </w:t>
      </w:r>
    </w:p>
    <w:p w14:paraId="309428BD">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签字(签章)：                 公章：               日期：    </w:t>
      </w:r>
    </w:p>
    <w:p w14:paraId="3208189E">
      <w:pPr>
        <w:pStyle w:val="36"/>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质疑函制作说明：</w:t>
      </w:r>
    </w:p>
    <w:p w14:paraId="5EFA0C34">
      <w:pPr>
        <w:pStyle w:val="36"/>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1.供应商提出质疑时，应提交质疑函和必要的证明材料。</w:t>
      </w:r>
    </w:p>
    <w:p w14:paraId="6EB54774">
      <w:pPr>
        <w:pStyle w:val="36"/>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52EF46E">
      <w:pPr>
        <w:pStyle w:val="36"/>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3.质疑供应商若对项目的某一分包进行质疑，质疑函中应列明具体分包号。</w:t>
      </w:r>
    </w:p>
    <w:p w14:paraId="39264D83">
      <w:pPr>
        <w:pStyle w:val="36"/>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4.质疑函的质疑事项应具体、明确，并有必要的事实依据和法律依据。</w:t>
      </w:r>
    </w:p>
    <w:p w14:paraId="3F8ED6F5">
      <w:pPr>
        <w:pStyle w:val="36"/>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5.质疑函的质疑请求应与质疑事项相关。</w:t>
      </w:r>
    </w:p>
    <w:p w14:paraId="629556ED">
      <w:pPr>
        <w:pStyle w:val="36"/>
        <w:widowControl/>
        <w:spacing w:beforeAutospacing="0" w:afterAutospacing="0" w:line="0" w:lineRule="atLeast"/>
        <w:ind w:firstLine="480"/>
        <w:rPr>
          <w:rFonts w:hint="eastAsia" w:eastAsia="宋体" w:asciiTheme="majorEastAsia" w:hAnsiTheme="majorEastAsia" w:cstheme="majorEastAsia"/>
          <w:color w:val="auto"/>
          <w:sz w:val="44"/>
          <w:szCs w:val="44"/>
          <w:highlight w:val="none"/>
          <w:lang w:eastAsia="zh-CN"/>
        </w:rPr>
        <w:sectPr>
          <w:footerReference r:id="rId4" w:type="default"/>
          <w:pgSz w:w="11906" w:h="16838"/>
          <w:pgMar w:top="607" w:right="850" w:bottom="850" w:left="1134" w:header="851" w:footer="992" w:gutter="0"/>
          <w:cols w:space="425" w:num="1"/>
          <w:docGrid w:linePitch="360" w:charSpace="0"/>
        </w:sectPr>
      </w:pPr>
      <w:r>
        <w:rPr>
          <w:rFonts w:hint="eastAsia" w:asciiTheme="minorEastAsia" w:hAnsiTheme="minorEastAsia" w:eastAsiaTheme="minorEastAsia" w:cstheme="minorEastAsia"/>
          <w:color w:val="auto"/>
          <w:highlight w:val="none"/>
        </w:rPr>
        <w:t>6.质疑供应商为自然人的，质疑函应由本人签字；质疑供应商为法人或者其他组织的，质疑函应由法定代表人、主要负责人，或者其授权代表签字或者盖章，并加盖公章</w:t>
      </w:r>
      <w:r>
        <w:rPr>
          <w:rFonts w:hint="eastAsia" w:eastAsia="宋体" w:asciiTheme="minorEastAsia" w:hAnsiTheme="minorEastAsia" w:cstheme="minorEastAsia"/>
          <w:color w:val="auto"/>
          <w:highlight w:val="none"/>
          <w:lang w:eastAsia="zh-CN"/>
        </w:rPr>
        <w:t>。</w:t>
      </w:r>
    </w:p>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5"/>
    <w:p w14:paraId="79C2CF62">
      <w:pPr>
        <w:pStyle w:val="36"/>
        <w:widowControl/>
        <w:spacing w:beforeAutospacing="0" w:afterAutospacing="0" w:line="0" w:lineRule="atLeast"/>
        <w:rPr>
          <w:rFonts w:hint="eastAsia" w:asciiTheme="majorEastAsia" w:hAnsiTheme="majorEastAsia" w:eastAsiaTheme="majorEastAsia" w:cstheme="majorEastAsia"/>
          <w:color w:val="auto"/>
          <w:highlight w:val="none"/>
        </w:rPr>
      </w:pPr>
    </w:p>
    <w:sectPr>
      <w:pgSz w:w="11906" w:h="16838"/>
      <w:pgMar w:top="607" w:right="850" w:bottom="850" w:left="1134"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兰亭黑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auto"/>
    <w:pitch w:val="default"/>
    <w:sig w:usb0="00000000" w:usb1="00000000" w:usb2="00000000" w:usb3="00000000" w:csb0="00040000" w:csb1="00000000"/>
  </w:font>
  <w:font w:name="Constantia">
    <w:panose1 w:val="02030602050306030303"/>
    <w:charset w:val="00"/>
    <w:family w:val="auto"/>
    <w:pitch w:val="default"/>
    <w:sig w:usb0="A00002EF" w:usb1="4000204B" w:usb2="00000000" w:usb3="00000000" w:csb0="2000019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4221D">
    <w:pPr>
      <w:spacing w:line="372" w:lineRule="exact"/>
      <w:ind w:left="6467"/>
      <w:rPr>
        <w:rFonts w:ascii="Times New Roman" w:hAnsi="Times New Roman" w:eastAsia="Times New Roman" w:cs="Times New Roman"/>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E9D46">
    <w:pPr>
      <w:pStyle w:val="22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EB5972"/>
    <w:multiLevelType w:val="singleLevel"/>
    <w:tmpl w:val="A6EB5972"/>
    <w:lvl w:ilvl="0" w:tentative="0">
      <w:start w:val="2"/>
      <w:numFmt w:val="decimal"/>
      <w:lvlText w:val="%1."/>
      <w:lvlJc w:val="left"/>
      <w:pPr>
        <w:tabs>
          <w:tab w:val="left" w:pos="312"/>
        </w:tabs>
      </w:pPr>
    </w:lvl>
  </w:abstractNum>
  <w:abstractNum w:abstractNumId="1">
    <w:nsid w:val="A6F82FD4"/>
    <w:multiLevelType w:val="singleLevel"/>
    <w:tmpl w:val="A6F82FD4"/>
    <w:lvl w:ilvl="0" w:tentative="0">
      <w:start w:val="7"/>
      <w:numFmt w:val="chineseCounting"/>
      <w:suff w:val="nothing"/>
      <w:lvlText w:val="%1、"/>
      <w:lvlJc w:val="left"/>
      <w:rPr>
        <w:rFonts w:hint="eastAsia"/>
      </w:rPr>
    </w:lvl>
  </w:abstractNum>
  <w:abstractNum w:abstractNumId="2">
    <w:nsid w:val="C6EBBEA5"/>
    <w:multiLevelType w:val="singleLevel"/>
    <w:tmpl w:val="C6EBBEA5"/>
    <w:lvl w:ilvl="0" w:tentative="0">
      <w:start w:val="1"/>
      <w:numFmt w:val="decimal"/>
      <w:suff w:val="space"/>
      <w:lvlText w:val="%1."/>
      <w:lvlJc w:val="left"/>
    </w:lvl>
  </w:abstractNum>
  <w:abstractNum w:abstractNumId="3">
    <w:nsid w:val="CF092B84"/>
    <w:multiLevelType w:val="multilevel"/>
    <w:tmpl w:val="CF092B84"/>
    <w:lvl w:ilvl="0" w:tentative="0">
      <w:start w:val="10"/>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F835E2FD"/>
    <w:multiLevelType w:val="singleLevel"/>
    <w:tmpl w:val="F835E2FD"/>
    <w:lvl w:ilvl="0" w:tentative="0">
      <w:start w:val="1"/>
      <w:numFmt w:val="decimal"/>
      <w:lvlText w:val="%1."/>
      <w:lvlJc w:val="left"/>
      <w:pPr>
        <w:tabs>
          <w:tab w:val="left" w:pos="312"/>
        </w:tabs>
      </w:pPr>
    </w:lvl>
  </w:abstractNum>
  <w:abstractNum w:abstractNumId="5">
    <w:nsid w:val="03D62ECE"/>
    <w:multiLevelType w:val="multilevel"/>
    <w:tmpl w:val="03D62ECE"/>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1"/>
      <w:numFmt w:val="decimal"/>
      <w:lvlText w:val="%1、"/>
      <w:lvlJc w:val="left"/>
      <w:pPr>
        <w:tabs>
          <w:tab w:val="left" w:pos="480"/>
        </w:tabs>
        <w:ind w:left="480" w:hanging="48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FCA4EDC"/>
    <w:multiLevelType w:val="singleLevel"/>
    <w:tmpl w:val="5FCA4EDC"/>
    <w:lvl w:ilvl="0" w:tentative="0">
      <w:start w:val="2"/>
      <w:numFmt w:val="chineseCounting"/>
      <w:suff w:val="nothing"/>
      <w:lvlText w:val="%1、"/>
      <w:lvlJc w:val="left"/>
      <w:rPr>
        <w:rFonts w:hint="eastAsia"/>
      </w:rPr>
    </w:lvl>
  </w:abstractNum>
  <w:num w:numId="1">
    <w:abstractNumId w:val="0"/>
  </w:num>
  <w:num w:numId="2">
    <w:abstractNumId w:val="3"/>
  </w:num>
  <w:num w:numId="3">
    <w:abstractNumId w:val="1"/>
  </w:num>
  <w:num w:numId="4">
    <w:abstractNumId w:val="7"/>
  </w:num>
  <w:num w:numId="5">
    <w:abstractNumId w:val="4"/>
  </w:num>
  <w:num w:numId="6">
    <w:abstractNumId w:val="5"/>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NhYjVjYzkxNWYwMGYyY2Y0Njk0YzBiMmRkODcxZTYifQ=="/>
  </w:docVars>
  <w:rsids>
    <w:rsidRoot w:val="00000000"/>
    <w:rsid w:val="000626A2"/>
    <w:rsid w:val="000942B7"/>
    <w:rsid w:val="00101AE9"/>
    <w:rsid w:val="0012211A"/>
    <w:rsid w:val="001570FF"/>
    <w:rsid w:val="001F7F7E"/>
    <w:rsid w:val="002C61F7"/>
    <w:rsid w:val="002E3356"/>
    <w:rsid w:val="00333A2A"/>
    <w:rsid w:val="00351550"/>
    <w:rsid w:val="00387FEF"/>
    <w:rsid w:val="003E38B6"/>
    <w:rsid w:val="00411CA3"/>
    <w:rsid w:val="00426D37"/>
    <w:rsid w:val="004E43BF"/>
    <w:rsid w:val="00515C5E"/>
    <w:rsid w:val="00522102"/>
    <w:rsid w:val="0058523E"/>
    <w:rsid w:val="00693985"/>
    <w:rsid w:val="006D70F2"/>
    <w:rsid w:val="00747AD8"/>
    <w:rsid w:val="0079509D"/>
    <w:rsid w:val="007E2EF7"/>
    <w:rsid w:val="00824069"/>
    <w:rsid w:val="009F1F4B"/>
    <w:rsid w:val="00B61856"/>
    <w:rsid w:val="00B71F65"/>
    <w:rsid w:val="00BD04BA"/>
    <w:rsid w:val="00C12DE3"/>
    <w:rsid w:val="00D9637F"/>
    <w:rsid w:val="00EB1C0E"/>
    <w:rsid w:val="00EF16FF"/>
    <w:rsid w:val="01101675"/>
    <w:rsid w:val="01170C55"/>
    <w:rsid w:val="0120369B"/>
    <w:rsid w:val="01255120"/>
    <w:rsid w:val="012A19DD"/>
    <w:rsid w:val="012A6BDB"/>
    <w:rsid w:val="012B4701"/>
    <w:rsid w:val="01300309"/>
    <w:rsid w:val="01370C02"/>
    <w:rsid w:val="013712F7"/>
    <w:rsid w:val="01413E9C"/>
    <w:rsid w:val="01457570"/>
    <w:rsid w:val="014A6A9C"/>
    <w:rsid w:val="014B68BB"/>
    <w:rsid w:val="014C4DA3"/>
    <w:rsid w:val="014D4677"/>
    <w:rsid w:val="014F03EF"/>
    <w:rsid w:val="014F6641"/>
    <w:rsid w:val="01525F9E"/>
    <w:rsid w:val="01565C22"/>
    <w:rsid w:val="015974C0"/>
    <w:rsid w:val="01642F3C"/>
    <w:rsid w:val="0165325A"/>
    <w:rsid w:val="01671BDD"/>
    <w:rsid w:val="016C2D4F"/>
    <w:rsid w:val="016F45ED"/>
    <w:rsid w:val="017C6D0A"/>
    <w:rsid w:val="017E0CD4"/>
    <w:rsid w:val="01897A5A"/>
    <w:rsid w:val="01910A08"/>
    <w:rsid w:val="01A65EE9"/>
    <w:rsid w:val="01A71FD9"/>
    <w:rsid w:val="01C34939"/>
    <w:rsid w:val="01C835AB"/>
    <w:rsid w:val="01CC5EE4"/>
    <w:rsid w:val="01D555A1"/>
    <w:rsid w:val="01D63C83"/>
    <w:rsid w:val="01DB7E89"/>
    <w:rsid w:val="01DD59FB"/>
    <w:rsid w:val="01F33470"/>
    <w:rsid w:val="01F512B2"/>
    <w:rsid w:val="01F571E8"/>
    <w:rsid w:val="01F9035B"/>
    <w:rsid w:val="020016E9"/>
    <w:rsid w:val="02094A42"/>
    <w:rsid w:val="020B07BA"/>
    <w:rsid w:val="020B5B51"/>
    <w:rsid w:val="020E3E06"/>
    <w:rsid w:val="02111B48"/>
    <w:rsid w:val="0213766F"/>
    <w:rsid w:val="021B41F6"/>
    <w:rsid w:val="021C29C7"/>
    <w:rsid w:val="023615AF"/>
    <w:rsid w:val="02395177"/>
    <w:rsid w:val="024A3284"/>
    <w:rsid w:val="02581525"/>
    <w:rsid w:val="025B6F6D"/>
    <w:rsid w:val="02661E94"/>
    <w:rsid w:val="02671768"/>
    <w:rsid w:val="02704AC1"/>
    <w:rsid w:val="0273635F"/>
    <w:rsid w:val="02781BC8"/>
    <w:rsid w:val="0284231A"/>
    <w:rsid w:val="02867DB1"/>
    <w:rsid w:val="029167E5"/>
    <w:rsid w:val="02963DFC"/>
    <w:rsid w:val="02A429BD"/>
    <w:rsid w:val="02A76009"/>
    <w:rsid w:val="02AB3D4B"/>
    <w:rsid w:val="02AE0490"/>
    <w:rsid w:val="02B3536B"/>
    <w:rsid w:val="02B436F0"/>
    <w:rsid w:val="02C01D4D"/>
    <w:rsid w:val="02C24BF1"/>
    <w:rsid w:val="02C46BBB"/>
    <w:rsid w:val="02C646E1"/>
    <w:rsid w:val="02CB5E28"/>
    <w:rsid w:val="02CE53BD"/>
    <w:rsid w:val="02D07DB8"/>
    <w:rsid w:val="02D61014"/>
    <w:rsid w:val="02DC2156"/>
    <w:rsid w:val="02DE07E7"/>
    <w:rsid w:val="02E75DA2"/>
    <w:rsid w:val="02ED7EC0"/>
    <w:rsid w:val="02FF5E45"/>
    <w:rsid w:val="03015719"/>
    <w:rsid w:val="030D40BE"/>
    <w:rsid w:val="030E7E36"/>
    <w:rsid w:val="03101E00"/>
    <w:rsid w:val="03103BAE"/>
    <w:rsid w:val="03195159"/>
    <w:rsid w:val="03207443"/>
    <w:rsid w:val="032338E1"/>
    <w:rsid w:val="032558AB"/>
    <w:rsid w:val="032F04D8"/>
    <w:rsid w:val="03345AEF"/>
    <w:rsid w:val="0334789D"/>
    <w:rsid w:val="03351867"/>
    <w:rsid w:val="0337738D"/>
    <w:rsid w:val="03391357"/>
    <w:rsid w:val="03404493"/>
    <w:rsid w:val="034665F2"/>
    <w:rsid w:val="035A712D"/>
    <w:rsid w:val="035E4B0D"/>
    <w:rsid w:val="035F06F0"/>
    <w:rsid w:val="036068E4"/>
    <w:rsid w:val="036439CE"/>
    <w:rsid w:val="03685798"/>
    <w:rsid w:val="036D1000"/>
    <w:rsid w:val="03726617"/>
    <w:rsid w:val="037759DB"/>
    <w:rsid w:val="03784033"/>
    <w:rsid w:val="037C26BA"/>
    <w:rsid w:val="037D56E7"/>
    <w:rsid w:val="038A1BB2"/>
    <w:rsid w:val="038C76D9"/>
    <w:rsid w:val="03914CEF"/>
    <w:rsid w:val="03A32C74"/>
    <w:rsid w:val="03A34A22"/>
    <w:rsid w:val="03A72764"/>
    <w:rsid w:val="03B24C65"/>
    <w:rsid w:val="03B53796"/>
    <w:rsid w:val="03B64756"/>
    <w:rsid w:val="03B709A5"/>
    <w:rsid w:val="03C30C20"/>
    <w:rsid w:val="03CC21CB"/>
    <w:rsid w:val="03D25D2F"/>
    <w:rsid w:val="03DF10F3"/>
    <w:rsid w:val="03EF7C67"/>
    <w:rsid w:val="04051239"/>
    <w:rsid w:val="04084A43"/>
    <w:rsid w:val="040A2CF3"/>
    <w:rsid w:val="040E4592"/>
    <w:rsid w:val="0414147C"/>
    <w:rsid w:val="041434B5"/>
    <w:rsid w:val="041D2A27"/>
    <w:rsid w:val="04212517"/>
    <w:rsid w:val="04365896"/>
    <w:rsid w:val="04430447"/>
    <w:rsid w:val="04473600"/>
    <w:rsid w:val="044C330C"/>
    <w:rsid w:val="04575F38"/>
    <w:rsid w:val="045D72C7"/>
    <w:rsid w:val="0462668B"/>
    <w:rsid w:val="046A44ED"/>
    <w:rsid w:val="04722D72"/>
    <w:rsid w:val="04844854"/>
    <w:rsid w:val="04941839"/>
    <w:rsid w:val="04A96068"/>
    <w:rsid w:val="04AB3B8E"/>
    <w:rsid w:val="04B073F7"/>
    <w:rsid w:val="04B52122"/>
    <w:rsid w:val="04BC223F"/>
    <w:rsid w:val="04C133B2"/>
    <w:rsid w:val="04D07A99"/>
    <w:rsid w:val="04D72BD5"/>
    <w:rsid w:val="04D93BF3"/>
    <w:rsid w:val="04D94B9F"/>
    <w:rsid w:val="04DC4690"/>
    <w:rsid w:val="04E35A1E"/>
    <w:rsid w:val="04F55751"/>
    <w:rsid w:val="04F96FF0"/>
    <w:rsid w:val="04FF037E"/>
    <w:rsid w:val="05045A86"/>
    <w:rsid w:val="05094D59"/>
    <w:rsid w:val="050B287F"/>
    <w:rsid w:val="050E236F"/>
    <w:rsid w:val="05121E5F"/>
    <w:rsid w:val="05191440"/>
    <w:rsid w:val="051E25B2"/>
    <w:rsid w:val="05221FFF"/>
    <w:rsid w:val="05235E1B"/>
    <w:rsid w:val="05353DA0"/>
    <w:rsid w:val="05377B18"/>
    <w:rsid w:val="053A13B6"/>
    <w:rsid w:val="054162A1"/>
    <w:rsid w:val="05465FAD"/>
    <w:rsid w:val="054B711F"/>
    <w:rsid w:val="05504736"/>
    <w:rsid w:val="05701C17"/>
    <w:rsid w:val="057F622F"/>
    <w:rsid w:val="0580326D"/>
    <w:rsid w:val="058F525E"/>
    <w:rsid w:val="059264EC"/>
    <w:rsid w:val="05942874"/>
    <w:rsid w:val="05A827C4"/>
    <w:rsid w:val="05B253F0"/>
    <w:rsid w:val="05B31869"/>
    <w:rsid w:val="05B64EE1"/>
    <w:rsid w:val="05C23886"/>
    <w:rsid w:val="05C84C14"/>
    <w:rsid w:val="05C869C2"/>
    <w:rsid w:val="05D435B9"/>
    <w:rsid w:val="05D90BCF"/>
    <w:rsid w:val="05E05ABA"/>
    <w:rsid w:val="05EA06E6"/>
    <w:rsid w:val="05EA6938"/>
    <w:rsid w:val="05FB28F4"/>
    <w:rsid w:val="05FB5C3F"/>
    <w:rsid w:val="06093262"/>
    <w:rsid w:val="060F2843"/>
    <w:rsid w:val="061564A4"/>
    <w:rsid w:val="061614DB"/>
    <w:rsid w:val="06231E4A"/>
    <w:rsid w:val="062A31D9"/>
    <w:rsid w:val="062A4F87"/>
    <w:rsid w:val="063876A4"/>
    <w:rsid w:val="065546FA"/>
    <w:rsid w:val="06585F98"/>
    <w:rsid w:val="065A0DDD"/>
    <w:rsid w:val="066761DB"/>
    <w:rsid w:val="0671035E"/>
    <w:rsid w:val="067A5F0E"/>
    <w:rsid w:val="0680729D"/>
    <w:rsid w:val="0682275D"/>
    <w:rsid w:val="068648B3"/>
    <w:rsid w:val="068B011B"/>
    <w:rsid w:val="069C466D"/>
    <w:rsid w:val="06A00E6B"/>
    <w:rsid w:val="06A116ED"/>
    <w:rsid w:val="06A66D03"/>
    <w:rsid w:val="06AC097D"/>
    <w:rsid w:val="06AC59C3"/>
    <w:rsid w:val="06AE7966"/>
    <w:rsid w:val="06B34F7C"/>
    <w:rsid w:val="06BF7DC5"/>
    <w:rsid w:val="06C13B3D"/>
    <w:rsid w:val="06CA4402"/>
    <w:rsid w:val="06D3561E"/>
    <w:rsid w:val="06F86967"/>
    <w:rsid w:val="06FF4665"/>
    <w:rsid w:val="07035F04"/>
    <w:rsid w:val="070B6B66"/>
    <w:rsid w:val="071137D1"/>
    <w:rsid w:val="071874D5"/>
    <w:rsid w:val="072034F0"/>
    <w:rsid w:val="072145DC"/>
    <w:rsid w:val="07262AC9"/>
    <w:rsid w:val="07372051"/>
    <w:rsid w:val="07385325"/>
    <w:rsid w:val="073A744C"/>
    <w:rsid w:val="073C31C4"/>
    <w:rsid w:val="074327A4"/>
    <w:rsid w:val="07462294"/>
    <w:rsid w:val="07513FF7"/>
    <w:rsid w:val="07524795"/>
    <w:rsid w:val="075A189C"/>
    <w:rsid w:val="0768045D"/>
    <w:rsid w:val="076B0C25"/>
    <w:rsid w:val="077010BF"/>
    <w:rsid w:val="07746A68"/>
    <w:rsid w:val="07834DF6"/>
    <w:rsid w:val="078608E3"/>
    <w:rsid w:val="079557E2"/>
    <w:rsid w:val="079923C4"/>
    <w:rsid w:val="079C3C62"/>
    <w:rsid w:val="07A36727"/>
    <w:rsid w:val="07A5520D"/>
    <w:rsid w:val="07A62D33"/>
    <w:rsid w:val="07A64AE1"/>
    <w:rsid w:val="07B436A2"/>
    <w:rsid w:val="07B53D87"/>
    <w:rsid w:val="07B94814"/>
    <w:rsid w:val="07C80EFB"/>
    <w:rsid w:val="07CF5DE6"/>
    <w:rsid w:val="07D9342B"/>
    <w:rsid w:val="07E34ED2"/>
    <w:rsid w:val="07F7533D"/>
    <w:rsid w:val="08065580"/>
    <w:rsid w:val="08090C8B"/>
    <w:rsid w:val="080C0DE8"/>
    <w:rsid w:val="080D2DB2"/>
    <w:rsid w:val="080D690E"/>
    <w:rsid w:val="08195761"/>
    <w:rsid w:val="081A3E22"/>
    <w:rsid w:val="08324A39"/>
    <w:rsid w:val="083350A7"/>
    <w:rsid w:val="08414D71"/>
    <w:rsid w:val="084511FB"/>
    <w:rsid w:val="085069B8"/>
    <w:rsid w:val="0858227F"/>
    <w:rsid w:val="086230FE"/>
    <w:rsid w:val="087F3026"/>
    <w:rsid w:val="08803584"/>
    <w:rsid w:val="0889068B"/>
    <w:rsid w:val="088968DD"/>
    <w:rsid w:val="088A7F5F"/>
    <w:rsid w:val="08981756"/>
    <w:rsid w:val="08981E0C"/>
    <w:rsid w:val="08A13C26"/>
    <w:rsid w:val="08A2799E"/>
    <w:rsid w:val="08AC25CB"/>
    <w:rsid w:val="08AD5A2D"/>
    <w:rsid w:val="08B35707"/>
    <w:rsid w:val="08C07E24"/>
    <w:rsid w:val="08C16076"/>
    <w:rsid w:val="08C2594B"/>
    <w:rsid w:val="08C81D93"/>
    <w:rsid w:val="08D00067"/>
    <w:rsid w:val="08D20586"/>
    <w:rsid w:val="08E753B1"/>
    <w:rsid w:val="08E9737B"/>
    <w:rsid w:val="08EC0C19"/>
    <w:rsid w:val="08FC70AE"/>
    <w:rsid w:val="090E48A9"/>
    <w:rsid w:val="09146B42"/>
    <w:rsid w:val="092B1683"/>
    <w:rsid w:val="09351B6B"/>
    <w:rsid w:val="09375987"/>
    <w:rsid w:val="09420839"/>
    <w:rsid w:val="09423355"/>
    <w:rsid w:val="094620D8"/>
    <w:rsid w:val="09473331"/>
    <w:rsid w:val="094822F4"/>
    <w:rsid w:val="09485587"/>
    <w:rsid w:val="094E3682"/>
    <w:rsid w:val="094E71DE"/>
    <w:rsid w:val="095742E5"/>
    <w:rsid w:val="0969158D"/>
    <w:rsid w:val="0969226A"/>
    <w:rsid w:val="097C1F9D"/>
    <w:rsid w:val="097E5D15"/>
    <w:rsid w:val="09816AA4"/>
    <w:rsid w:val="098175B4"/>
    <w:rsid w:val="09847BC7"/>
    <w:rsid w:val="09861CDD"/>
    <w:rsid w:val="098C0FC9"/>
    <w:rsid w:val="0993788B"/>
    <w:rsid w:val="099E0166"/>
    <w:rsid w:val="099E1F14"/>
    <w:rsid w:val="09A339CE"/>
    <w:rsid w:val="09AF4121"/>
    <w:rsid w:val="09B039F5"/>
    <w:rsid w:val="09B23C11"/>
    <w:rsid w:val="09B5725D"/>
    <w:rsid w:val="09B72526"/>
    <w:rsid w:val="09C56FF1"/>
    <w:rsid w:val="09D65B51"/>
    <w:rsid w:val="09D73678"/>
    <w:rsid w:val="09E351FC"/>
    <w:rsid w:val="09E85885"/>
    <w:rsid w:val="09E92C62"/>
    <w:rsid w:val="09F93DAC"/>
    <w:rsid w:val="0A0A1357"/>
    <w:rsid w:val="0A146178"/>
    <w:rsid w:val="0A187979"/>
    <w:rsid w:val="0A193C90"/>
    <w:rsid w:val="0A1D4C87"/>
    <w:rsid w:val="0A23066B"/>
    <w:rsid w:val="0A2B13BC"/>
    <w:rsid w:val="0A2D14EA"/>
    <w:rsid w:val="0A312D88"/>
    <w:rsid w:val="0A374116"/>
    <w:rsid w:val="0A415535"/>
    <w:rsid w:val="0A424B5E"/>
    <w:rsid w:val="0A4D7496"/>
    <w:rsid w:val="0A4F1460"/>
    <w:rsid w:val="0A4F2AA7"/>
    <w:rsid w:val="0A5D3B7D"/>
    <w:rsid w:val="0A656ED5"/>
    <w:rsid w:val="0A696CA3"/>
    <w:rsid w:val="0A6A629A"/>
    <w:rsid w:val="0A71587A"/>
    <w:rsid w:val="0A7F0123"/>
    <w:rsid w:val="0A805ABD"/>
    <w:rsid w:val="0A821835"/>
    <w:rsid w:val="0A870BFA"/>
    <w:rsid w:val="0A96708F"/>
    <w:rsid w:val="0A976AB2"/>
    <w:rsid w:val="0AA01CBB"/>
    <w:rsid w:val="0AAA48E8"/>
    <w:rsid w:val="0AC54906"/>
    <w:rsid w:val="0AC91212"/>
    <w:rsid w:val="0ACA0AE6"/>
    <w:rsid w:val="0ACD22F3"/>
    <w:rsid w:val="0ACF434F"/>
    <w:rsid w:val="0AD07D32"/>
    <w:rsid w:val="0ADC75CA"/>
    <w:rsid w:val="0AE47DFA"/>
    <w:rsid w:val="0AE5788C"/>
    <w:rsid w:val="0AE93662"/>
    <w:rsid w:val="0AEC6CAF"/>
    <w:rsid w:val="0B04049C"/>
    <w:rsid w:val="0B0E4E77"/>
    <w:rsid w:val="0B0F299D"/>
    <w:rsid w:val="0B136931"/>
    <w:rsid w:val="0B1526A9"/>
    <w:rsid w:val="0B3350DE"/>
    <w:rsid w:val="0B381EF4"/>
    <w:rsid w:val="0B3C19E4"/>
    <w:rsid w:val="0B3E1C00"/>
    <w:rsid w:val="0B460AB5"/>
    <w:rsid w:val="0B4C599F"/>
    <w:rsid w:val="0B4D3BF1"/>
    <w:rsid w:val="0B554854"/>
    <w:rsid w:val="0B5E2A33"/>
    <w:rsid w:val="0B5E5DFE"/>
    <w:rsid w:val="0B706BC1"/>
    <w:rsid w:val="0B754EF6"/>
    <w:rsid w:val="0B7566DB"/>
    <w:rsid w:val="0B7A250D"/>
    <w:rsid w:val="0B8034DB"/>
    <w:rsid w:val="0B860EB1"/>
    <w:rsid w:val="0B865355"/>
    <w:rsid w:val="0B892712"/>
    <w:rsid w:val="0B8D2240"/>
    <w:rsid w:val="0B8D66E4"/>
    <w:rsid w:val="0B9611D0"/>
    <w:rsid w:val="0BA12782"/>
    <w:rsid w:val="0BA94BA0"/>
    <w:rsid w:val="0BB00186"/>
    <w:rsid w:val="0BBB00DD"/>
    <w:rsid w:val="0BC8771C"/>
    <w:rsid w:val="0BC96FF0"/>
    <w:rsid w:val="0BCD4D32"/>
    <w:rsid w:val="0BD04822"/>
    <w:rsid w:val="0BD51E39"/>
    <w:rsid w:val="0BD95485"/>
    <w:rsid w:val="0BDA2FAB"/>
    <w:rsid w:val="0BE1258C"/>
    <w:rsid w:val="0BE36304"/>
    <w:rsid w:val="0BED2CDE"/>
    <w:rsid w:val="0BEE5EB8"/>
    <w:rsid w:val="0BF70001"/>
    <w:rsid w:val="0C000C64"/>
    <w:rsid w:val="0C0B13B7"/>
    <w:rsid w:val="0C193AD3"/>
    <w:rsid w:val="0C210BDA"/>
    <w:rsid w:val="0C386378"/>
    <w:rsid w:val="0C403756"/>
    <w:rsid w:val="0C41302A"/>
    <w:rsid w:val="0C4B5C57"/>
    <w:rsid w:val="0C4F1BEB"/>
    <w:rsid w:val="0C670F6C"/>
    <w:rsid w:val="0C6A750D"/>
    <w:rsid w:val="0C6B4845"/>
    <w:rsid w:val="0C781676"/>
    <w:rsid w:val="0C796C68"/>
    <w:rsid w:val="0C8045A0"/>
    <w:rsid w:val="0C882A07"/>
    <w:rsid w:val="0C8F3D96"/>
    <w:rsid w:val="0CAC2B9A"/>
    <w:rsid w:val="0CB3217A"/>
    <w:rsid w:val="0CBB2DDD"/>
    <w:rsid w:val="0CC04897"/>
    <w:rsid w:val="0CC2416B"/>
    <w:rsid w:val="0CC46135"/>
    <w:rsid w:val="0CEC743A"/>
    <w:rsid w:val="0CEF0CD8"/>
    <w:rsid w:val="0CF12CA2"/>
    <w:rsid w:val="0D0C2411"/>
    <w:rsid w:val="0D1349C7"/>
    <w:rsid w:val="0D181FDD"/>
    <w:rsid w:val="0D2070E4"/>
    <w:rsid w:val="0D242DDD"/>
    <w:rsid w:val="0D2564A8"/>
    <w:rsid w:val="0D261474"/>
    <w:rsid w:val="0D2E2F96"/>
    <w:rsid w:val="0D447276"/>
    <w:rsid w:val="0D464A1B"/>
    <w:rsid w:val="0D5B011C"/>
    <w:rsid w:val="0D605732"/>
    <w:rsid w:val="0D690A8B"/>
    <w:rsid w:val="0D6945E7"/>
    <w:rsid w:val="0D725B91"/>
    <w:rsid w:val="0D75742F"/>
    <w:rsid w:val="0D8A27C9"/>
    <w:rsid w:val="0D8E5DAB"/>
    <w:rsid w:val="0D9248EB"/>
    <w:rsid w:val="0D951628"/>
    <w:rsid w:val="0D95362E"/>
    <w:rsid w:val="0D967279"/>
    <w:rsid w:val="0D9A0C44"/>
    <w:rsid w:val="0DA43CAB"/>
    <w:rsid w:val="0DAB4BFF"/>
    <w:rsid w:val="0DB8556E"/>
    <w:rsid w:val="0DD30BCF"/>
    <w:rsid w:val="0DD51C7C"/>
    <w:rsid w:val="0DDA7292"/>
    <w:rsid w:val="0DE47CE7"/>
    <w:rsid w:val="0DF2282E"/>
    <w:rsid w:val="0DF26CD2"/>
    <w:rsid w:val="0E056A05"/>
    <w:rsid w:val="0E083E00"/>
    <w:rsid w:val="0E19600D"/>
    <w:rsid w:val="0E1B437F"/>
    <w:rsid w:val="0E1C6E84"/>
    <w:rsid w:val="0E1C78AB"/>
    <w:rsid w:val="0E213113"/>
    <w:rsid w:val="0E253056"/>
    <w:rsid w:val="0E3445FA"/>
    <w:rsid w:val="0E3623F7"/>
    <w:rsid w:val="0E3A41D5"/>
    <w:rsid w:val="0E46418D"/>
    <w:rsid w:val="0E4D3F08"/>
    <w:rsid w:val="0E4E6478"/>
    <w:rsid w:val="0E511C4A"/>
    <w:rsid w:val="0E5D6FB7"/>
    <w:rsid w:val="0E6D45AA"/>
    <w:rsid w:val="0E7476E7"/>
    <w:rsid w:val="0E7479E9"/>
    <w:rsid w:val="0E7A447D"/>
    <w:rsid w:val="0E836FA3"/>
    <w:rsid w:val="0E8536A2"/>
    <w:rsid w:val="0E8C2C83"/>
    <w:rsid w:val="0E8D4E5E"/>
    <w:rsid w:val="0E963B01"/>
    <w:rsid w:val="0E973ED2"/>
    <w:rsid w:val="0E990EFC"/>
    <w:rsid w:val="0EA22073"/>
    <w:rsid w:val="0EAC08FD"/>
    <w:rsid w:val="0EAC50D3"/>
    <w:rsid w:val="0EB307AE"/>
    <w:rsid w:val="0EB9159E"/>
    <w:rsid w:val="0EBA007D"/>
    <w:rsid w:val="0EBD108E"/>
    <w:rsid w:val="0EC05022"/>
    <w:rsid w:val="0EC57F43"/>
    <w:rsid w:val="0EDB59B8"/>
    <w:rsid w:val="0EE81B40"/>
    <w:rsid w:val="0EEC6497"/>
    <w:rsid w:val="0EEF0710"/>
    <w:rsid w:val="0EF05585"/>
    <w:rsid w:val="0EF3685E"/>
    <w:rsid w:val="0EFE1593"/>
    <w:rsid w:val="0F0071CD"/>
    <w:rsid w:val="0F136015"/>
    <w:rsid w:val="0F144A26"/>
    <w:rsid w:val="0F1814A2"/>
    <w:rsid w:val="0F1F58A5"/>
    <w:rsid w:val="0F276507"/>
    <w:rsid w:val="0F296723"/>
    <w:rsid w:val="0F2F4DC0"/>
    <w:rsid w:val="0F381B51"/>
    <w:rsid w:val="0F3841E6"/>
    <w:rsid w:val="0F384BB8"/>
    <w:rsid w:val="0F437CE3"/>
    <w:rsid w:val="0F476BAA"/>
    <w:rsid w:val="0F4B066E"/>
    <w:rsid w:val="0F4C5F6E"/>
    <w:rsid w:val="0F4E618A"/>
    <w:rsid w:val="0F572B3C"/>
    <w:rsid w:val="0F5D017B"/>
    <w:rsid w:val="0F5D63CD"/>
    <w:rsid w:val="0F5F5CA1"/>
    <w:rsid w:val="0F645140"/>
    <w:rsid w:val="0F672DA8"/>
    <w:rsid w:val="0F68711F"/>
    <w:rsid w:val="0F6E265A"/>
    <w:rsid w:val="0F781459"/>
    <w:rsid w:val="0F827BE2"/>
    <w:rsid w:val="0F841BAC"/>
    <w:rsid w:val="0F87344A"/>
    <w:rsid w:val="0F8F0CE8"/>
    <w:rsid w:val="0F957915"/>
    <w:rsid w:val="0F972C81"/>
    <w:rsid w:val="0F9A13CF"/>
    <w:rsid w:val="0F9A317D"/>
    <w:rsid w:val="0F9F482E"/>
    <w:rsid w:val="0FA66633"/>
    <w:rsid w:val="0FAD1102"/>
    <w:rsid w:val="0FB26719"/>
    <w:rsid w:val="0FC1070A"/>
    <w:rsid w:val="0FCC6434"/>
    <w:rsid w:val="0FCF68E2"/>
    <w:rsid w:val="0FD541B5"/>
    <w:rsid w:val="0FE6143F"/>
    <w:rsid w:val="0FF93C93"/>
    <w:rsid w:val="0FFB7EF6"/>
    <w:rsid w:val="0FFF2388"/>
    <w:rsid w:val="10042CED"/>
    <w:rsid w:val="10090303"/>
    <w:rsid w:val="100B7BD7"/>
    <w:rsid w:val="100F1C8A"/>
    <w:rsid w:val="10112F3F"/>
    <w:rsid w:val="101C29CD"/>
    <w:rsid w:val="101E3DAE"/>
    <w:rsid w:val="101E5B5C"/>
    <w:rsid w:val="10240C99"/>
    <w:rsid w:val="10262C63"/>
    <w:rsid w:val="102F1315"/>
    <w:rsid w:val="103510F8"/>
    <w:rsid w:val="103A670E"/>
    <w:rsid w:val="103E61FE"/>
    <w:rsid w:val="103E690E"/>
    <w:rsid w:val="103F6857"/>
    <w:rsid w:val="10501A8E"/>
    <w:rsid w:val="10635C65"/>
    <w:rsid w:val="106B768D"/>
    <w:rsid w:val="10771710"/>
    <w:rsid w:val="108654B0"/>
    <w:rsid w:val="109202F8"/>
    <w:rsid w:val="10944070"/>
    <w:rsid w:val="10945E1E"/>
    <w:rsid w:val="10953945"/>
    <w:rsid w:val="109D62AF"/>
    <w:rsid w:val="10A122E9"/>
    <w:rsid w:val="10A2257A"/>
    <w:rsid w:val="10A5002C"/>
    <w:rsid w:val="10AD6EE0"/>
    <w:rsid w:val="10BA1685"/>
    <w:rsid w:val="10C36704"/>
    <w:rsid w:val="10C5247C"/>
    <w:rsid w:val="10D64689"/>
    <w:rsid w:val="10EB54D0"/>
    <w:rsid w:val="10FD1C16"/>
    <w:rsid w:val="110F1949"/>
    <w:rsid w:val="11164A85"/>
    <w:rsid w:val="112E0021"/>
    <w:rsid w:val="11423ACC"/>
    <w:rsid w:val="1143696C"/>
    <w:rsid w:val="114535BD"/>
    <w:rsid w:val="11494E5B"/>
    <w:rsid w:val="11497FC1"/>
    <w:rsid w:val="114F1D45"/>
    <w:rsid w:val="115832F0"/>
    <w:rsid w:val="115B1666"/>
    <w:rsid w:val="115B7015"/>
    <w:rsid w:val="116C6D9B"/>
    <w:rsid w:val="116E48C1"/>
    <w:rsid w:val="1170063A"/>
    <w:rsid w:val="1178430B"/>
    <w:rsid w:val="117B2B3A"/>
    <w:rsid w:val="117D68B3"/>
    <w:rsid w:val="11877731"/>
    <w:rsid w:val="11883E8E"/>
    <w:rsid w:val="11945105"/>
    <w:rsid w:val="11963E18"/>
    <w:rsid w:val="1198193E"/>
    <w:rsid w:val="11A976A8"/>
    <w:rsid w:val="11BB554E"/>
    <w:rsid w:val="11D230A2"/>
    <w:rsid w:val="11D6781A"/>
    <w:rsid w:val="11D972B3"/>
    <w:rsid w:val="11E065DD"/>
    <w:rsid w:val="11EC514B"/>
    <w:rsid w:val="12043C94"/>
    <w:rsid w:val="121511E1"/>
    <w:rsid w:val="12174F59"/>
    <w:rsid w:val="121E0096"/>
    <w:rsid w:val="122C03C5"/>
    <w:rsid w:val="122F22A3"/>
    <w:rsid w:val="12354002"/>
    <w:rsid w:val="12394ECF"/>
    <w:rsid w:val="123C49C0"/>
    <w:rsid w:val="124F64A1"/>
    <w:rsid w:val="12505D75"/>
    <w:rsid w:val="125C155C"/>
    <w:rsid w:val="125E4936"/>
    <w:rsid w:val="12601E40"/>
    <w:rsid w:val="126325FE"/>
    <w:rsid w:val="126A32DB"/>
    <w:rsid w:val="126D7627"/>
    <w:rsid w:val="12723F3D"/>
    <w:rsid w:val="12AF0CEE"/>
    <w:rsid w:val="12B10F0A"/>
    <w:rsid w:val="12BC2658"/>
    <w:rsid w:val="12D22C2E"/>
    <w:rsid w:val="12DE7825"/>
    <w:rsid w:val="12E0534B"/>
    <w:rsid w:val="12E10DF9"/>
    <w:rsid w:val="12F17851"/>
    <w:rsid w:val="12FC6E07"/>
    <w:rsid w:val="12FE1008"/>
    <w:rsid w:val="13054DB2"/>
    <w:rsid w:val="130645D2"/>
    <w:rsid w:val="13185A75"/>
    <w:rsid w:val="132F1E2E"/>
    <w:rsid w:val="1331204B"/>
    <w:rsid w:val="1334309C"/>
    <w:rsid w:val="13345697"/>
    <w:rsid w:val="133B434D"/>
    <w:rsid w:val="134176D6"/>
    <w:rsid w:val="134268C4"/>
    <w:rsid w:val="13541A21"/>
    <w:rsid w:val="13545D39"/>
    <w:rsid w:val="13566046"/>
    <w:rsid w:val="1360648C"/>
    <w:rsid w:val="136C4E31"/>
    <w:rsid w:val="136E569C"/>
    <w:rsid w:val="13785584"/>
    <w:rsid w:val="1379754E"/>
    <w:rsid w:val="137D4E72"/>
    <w:rsid w:val="139879D4"/>
    <w:rsid w:val="13A75E69"/>
    <w:rsid w:val="13B16CE7"/>
    <w:rsid w:val="13B35118"/>
    <w:rsid w:val="13B62550"/>
    <w:rsid w:val="13C702B9"/>
    <w:rsid w:val="13C7650B"/>
    <w:rsid w:val="13D133D8"/>
    <w:rsid w:val="13D44784"/>
    <w:rsid w:val="13D80718"/>
    <w:rsid w:val="13DA4490"/>
    <w:rsid w:val="13DB3D64"/>
    <w:rsid w:val="13DF3855"/>
    <w:rsid w:val="13DF5603"/>
    <w:rsid w:val="13E16B2F"/>
    <w:rsid w:val="13E62E35"/>
    <w:rsid w:val="13EB3FA7"/>
    <w:rsid w:val="13EC7D20"/>
    <w:rsid w:val="13EE5846"/>
    <w:rsid w:val="13FA68E0"/>
    <w:rsid w:val="13FF7155"/>
    <w:rsid w:val="14190BBC"/>
    <w:rsid w:val="141A488D"/>
    <w:rsid w:val="141A663B"/>
    <w:rsid w:val="142D2812"/>
    <w:rsid w:val="142F0172"/>
    <w:rsid w:val="14411E19"/>
    <w:rsid w:val="144512F2"/>
    <w:rsid w:val="144638D4"/>
    <w:rsid w:val="14467430"/>
    <w:rsid w:val="144813FA"/>
    <w:rsid w:val="144B7469"/>
    <w:rsid w:val="144C4685"/>
    <w:rsid w:val="14515DD5"/>
    <w:rsid w:val="14667AD2"/>
    <w:rsid w:val="14691370"/>
    <w:rsid w:val="146A2E8A"/>
    <w:rsid w:val="14720225"/>
    <w:rsid w:val="14745E6F"/>
    <w:rsid w:val="14746099"/>
    <w:rsid w:val="147815B3"/>
    <w:rsid w:val="147A357D"/>
    <w:rsid w:val="14847F58"/>
    <w:rsid w:val="14904B4F"/>
    <w:rsid w:val="1494463F"/>
    <w:rsid w:val="14983A03"/>
    <w:rsid w:val="149867DF"/>
    <w:rsid w:val="149C1746"/>
    <w:rsid w:val="14A800EA"/>
    <w:rsid w:val="14AC003A"/>
    <w:rsid w:val="14B64888"/>
    <w:rsid w:val="14CB3DD9"/>
    <w:rsid w:val="14D42C8D"/>
    <w:rsid w:val="14D81EC0"/>
    <w:rsid w:val="14DF1632"/>
    <w:rsid w:val="14E86589"/>
    <w:rsid w:val="14F553FA"/>
    <w:rsid w:val="14F912A2"/>
    <w:rsid w:val="15080B89"/>
    <w:rsid w:val="150D43F1"/>
    <w:rsid w:val="150F3CC6"/>
    <w:rsid w:val="151237B6"/>
    <w:rsid w:val="151614F8"/>
    <w:rsid w:val="15284D87"/>
    <w:rsid w:val="152D239E"/>
    <w:rsid w:val="15347BD0"/>
    <w:rsid w:val="1537321C"/>
    <w:rsid w:val="15434204"/>
    <w:rsid w:val="15446404"/>
    <w:rsid w:val="154F2A92"/>
    <w:rsid w:val="15520056"/>
    <w:rsid w:val="155618F4"/>
    <w:rsid w:val="15593193"/>
    <w:rsid w:val="15636126"/>
    <w:rsid w:val="156D4E90"/>
    <w:rsid w:val="156F0C08"/>
    <w:rsid w:val="15816ABB"/>
    <w:rsid w:val="15962639"/>
    <w:rsid w:val="159863B1"/>
    <w:rsid w:val="159B37AB"/>
    <w:rsid w:val="15A24B3A"/>
    <w:rsid w:val="15A9236C"/>
    <w:rsid w:val="15AE1730"/>
    <w:rsid w:val="15B36D47"/>
    <w:rsid w:val="15B50D11"/>
    <w:rsid w:val="15C50828"/>
    <w:rsid w:val="15CC605B"/>
    <w:rsid w:val="15D867AD"/>
    <w:rsid w:val="15DD2016"/>
    <w:rsid w:val="15DD3DC4"/>
    <w:rsid w:val="15E20E8C"/>
    <w:rsid w:val="15E46F00"/>
    <w:rsid w:val="15EA028F"/>
    <w:rsid w:val="15EA6985"/>
    <w:rsid w:val="15EC2259"/>
    <w:rsid w:val="15FA27BA"/>
    <w:rsid w:val="16000CED"/>
    <w:rsid w:val="1604435F"/>
    <w:rsid w:val="160B0931"/>
    <w:rsid w:val="160E0421"/>
    <w:rsid w:val="161D0664"/>
    <w:rsid w:val="16220FB0"/>
    <w:rsid w:val="16223ECC"/>
    <w:rsid w:val="1626576B"/>
    <w:rsid w:val="16276B81"/>
    <w:rsid w:val="162E461F"/>
    <w:rsid w:val="163360DA"/>
    <w:rsid w:val="1636067D"/>
    <w:rsid w:val="163A7468"/>
    <w:rsid w:val="16491459"/>
    <w:rsid w:val="164B3423"/>
    <w:rsid w:val="1651030E"/>
    <w:rsid w:val="16570F6D"/>
    <w:rsid w:val="167364D6"/>
    <w:rsid w:val="16777D74"/>
    <w:rsid w:val="16826719"/>
    <w:rsid w:val="168C1346"/>
    <w:rsid w:val="168C3CD0"/>
    <w:rsid w:val="169E74C6"/>
    <w:rsid w:val="16A448E1"/>
    <w:rsid w:val="16A56DF3"/>
    <w:rsid w:val="16A91EF8"/>
    <w:rsid w:val="16AA639C"/>
    <w:rsid w:val="16AB1E30"/>
    <w:rsid w:val="16B42370"/>
    <w:rsid w:val="16B74615"/>
    <w:rsid w:val="16BF796D"/>
    <w:rsid w:val="16C429D7"/>
    <w:rsid w:val="16C60CFC"/>
    <w:rsid w:val="16C62AAA"/>
    <w:rsid w:val="16C84A74"/>
    <w:rsid w:val="16D03928"/>
    <w:rsid w:val="16D056D6"/>
    <w:rsid w:val="16D919A4"/>
    <w:rsid w:val="16DC051F"/>
    <w:rsid w:val="16DE1BA1"/>
    <w:rsid w:val="16DE6045"/>
    <w:rsid w:val="16E045DB"/>
    <w:rsid w:val="16E573D4"/>
    <w:rsid w:val="16E70179"/>
    <w:rsid w:val="16F2389F"/>
    <w:rsid w:val="16F51CB1"/>
    <w:rsid w:val="16F77107"/>
    <w:rsid w:val="16F9235A"/>
    <w:rsid w:val="170C16E1"/>
    <w:rsid w:val="17103D25"/>
    <w:rsid w:val="1711641B"/>
    <w:rsid w:val="171639BF"/>
    <w:rsid w:val="171E6442"/>
    <w:rsid w:val="17255A22"/>
    <w:rsid w:val="1726179A"/>
    <w:rsid w:val="17370586"/>
    <w:rsid w:val="17424826"/>
    <w:rsid w:val="174874BC"/>
    <w:rsid w:val="174900CA"/>
    <w:rsid w:val="17544559"/>
    <w:rsid w:val="17554015"/>
    <w:rsid w:val="175956CC"/>
    <w:rsid w:val="1776627E"/>
    <w:rsid w:val="17773DA4"/>
    <w:rsid w:val="178421D0"/>
    <w:rsid w:val="178A58D8"/>
    <w:rsid w:val="178A7F7B"/>
    <w:rsid w:val="178C5AA1"/>
    <w:rsid w:val="1796247C"/>
    <w:rsid w:val="17996410"/>
    <w:rsid w:val="17B15E71"/>
    <w:rsid w:val="17B172B6"/>
    <w:rsid w:val="17B617A8"/>
    <w:rsid w:val="17C0574B"/>
    <w:rsid w:val="17CA599A"/>
    <w:rsid w:val="17D82A95"/>
    <w:rsid w:val="17E3217F"/>
    <w:rsid w:val="17F353F6"/>
    <w:rsid w:val="17F90C5D"/>
    <w:rsid w:val="180A4C18"/>
    <w:rsid w:val="180B5EF4"/>
    <w:rsid w:val="180F51E8"/>
    <w:rsid w:val="18153CE9"/>
    <w:rsid w:val="181C01AE"/>
    <w:rsid w:val="1828042E"/>
    <w:rsid w:val="182A0E16"/>
    <w:rsid w:val="18364757"/>
    <w:rsid w:val="183F2B14"/>
    <w:rsid w:val="18567E5D"/>
    <w:rsid w:val="186E33F9"/>
    <w:rsid w:val="18707171"/>
    <w:rsid w:val="1881137E"/>
    <w:rsid w:val="18820DE5"/>
    <w:rsid w:val="18822A00"/>
    <w:rsid w:val="188342B9"/>
    <w:rsid w:val="188606F6"/>
    <w:rsid w:val="188D7D23"/>
    <w:rsid w:val="189C08D6"/>
    <w:rsid w:val="189E3CDE"/>
    <w:rsid w:val="18A137CE"/>
    <w:rsid w:val="18A53597"/>
    <w:rsid w:val="18B0756E"/>
    <w:rsid w:val="18B35851"/>
    <w:rsid w:val="18B6781E"/>
    <w:rsid w:val="18B77FB0"/>
    <w:rsid w:val="18C4126B"/>
    <w:rsid w:val="18C748B7"/>
    <w:rsid w:val="18D26136"/>
    <w:rsid w:val="18DB682F"/>
    <w:rsid w:val="18E611E1"/>
    <w:rsid w:val="18F25DD8"/>
    <w:rsid w:val="190855FC"/>
    <w:rsid w:val="19102702"/>
    <w:rsid w:val="19103171"/>
    <w:rsid w:val="19127B40"/>
    <w:rsid w:val="19150A48"/>
    <w:rsid w:val="19230CB4"/>
    <w:rsid w:val="192A5572"/>
    <w:rsid w:val="19326EC6"/>
    <w:rsid w:val="194128BC"/>
    <w:rsid w:val="19452647"/>
    <w:rsid w:val="194B54E8"/>
    <w:rsid w:val="19516FA3"/>
    <w:rsid w:val="195270D5"/>
    <w:rsid w:val="19573E8D"/>
    <w:rsid w:val="195A6500"/>
    <w:rsid w:val="195C14A3"/>
    <w:rsid w:val="195C6723"/>
    <w:rsid w:val="19614D0C"/>
    <w:rsid w:val="19650358"/>
    <w:rsid w:val="19762565"/>
    <w:rsid w:val="1977452F"/>
    <w:rsid w:val="198C19F9"/>
    <w:rsid w:val="198C1D89"/>
    <w:rsid w:val="198E0675"/>
    <w:rsid w:val="1990114D"/>
    <w:rsid w:val="19931E06"/>
    <w:rsid w:val="19996254"/>
    <w:rsid w:val="19A60971"/>
    <w:rsid w:val="19A8293B"/>
    <w:rsid w:val="19A93527"/>
    <w:rsid w:val="19B06F7C"/>
    <w:rsid w:val="19B117EF"/>
    <w:rsid w:val="19B1359D"/>
    <w:rsid w:val="19B337B9"/>
    <w:rsid w:val="19B66E06"/>
    <w:rsid w:val="19BE5D1C"/>
    <w:rsid w:val="19C36058"/>
    <w:rsid w:val="19C52C4B"/>
    <w:rsid w:val="19CE1207"/>
    <w:rsid w:val="19CF7EC7"/>
    <w:rsid w:val="19D159ED"/>
    <w:rsid w:val="19D35C0A"/>
    <w:rsid w:val="19D454DE"/>
    <w:rsid w:val="19D84FCE"/>
    <w:rsid w:val="19DB4ABE"/>
    <w:rsid w:val="19E219A9"/>
    <w:rsid w:val="1A0062D3"/>
    <w:rsid w:val="1A0758B3"/>
    <w:rsid w:val="1A206975"/>
    <w:rsid w:val="1A237257"/>
    <w:rsid w:val="1A295829"/>
    <w:rsid w:val="1A320606"/>
    <w:rsid w:val="1A493720"/>
    <w:rsid w:val="1A4A57A0"/>
    <w:rsid w:val="1A5B5BFF"/>
    <w:rsid w:val="1A5F124B"/>
    <w:rsid w:val="1A606D71"/>
    <w:rsid w:val="1A654388"/>
    <w:rsid w:val="1A6C5716"/>
    <w:rsid w:val="1A6E148E"/>
    <w:rsid w:val="1A6F204B"/>
    <w:rsid w:val="1A6F7057"/>
    <w:rsid w:val="1A736AA5"/>
    <w:rsid w:val="1A741BC9"/>
    <w:rsid w:val="1A784993"/>
    <w:rsid w:val="1A791CC0"/>
    <w:rsid w:val="1A7F5449"/>
    <w:rsid w:val="1A7F5B09"/>
    <w:rsid w:val="1A846F04"/>
    <w:rsid w:val="1AA55149"/>
    <w:rsid w:val="1AB07CF9"/>
    <w:rsid w:val="1AB8169F"/>
    <w:rsid w:val="1ABC48F0"/>
    <w:rsid w:val="1ABD4E9E"/>
    <w:rsid w:val="1AC81973"/>
    <w:rsid w:val="1ACD08AB"/>
    <w:rsid w:val="1AD25EC1"/>
    <w:rsid w:val="1AD91FCA"/>
    <w:rsid w:val="1ADA2FC8"/>
    <w:rsid w:val="1AE456EE"/>
    <w:rsid w:val="1AE9294B"/>
    <w:rsid w:val="1AEC6857"/>
    <w:rsid w:val="1AF13A0C"/>
    <w:rsid w:val="1AF220BF"/>
    <w:rsid w:val="1AFC2F3E"/>
    <w:rsid w:val="1B012302"/>
    <w:rsid w:val="1B027E29"/>
    <w:rsid w:val="1B040045"/>
    <w:rsid w:val="1B09565B"/>
    <w:rsid w:val="1B0D437B"/>
    <w:rsid w:val="1B157B5C"/>
    <w:rsid w:val="1B17369E"/>
    <w:rsid w:val="1B1B75C1"/>
    <w:rsid w:val="1B1C538E"/>
    <w:rsid w:val="1B1E2EB4"/>
    <w:rsid w:val="1B204F40"/>
    <w:rsid w:val="1B222279"/>
    <w:rsid w:val="1B285AE1"/>
    <w:rsid w:val="1B2A0D10"/>
    <w:rsid w:val="1B2E4DC9"/>
    <w:rsid w:val="1B3204C1"/>
    <w:rsid w:val="1B5006D6"/>
    <w:rsid w:val="1B530684"/>
    <w:rsid w:val="1B55264E"/>
    <w:rsid w:val="1B5A1A13"/>
    <w:rsid w:val="1B5C578B"/>
    <w:rsid w:val="1B8B2B71"/>
    <w:rsid w:val="1B9C202B"/>
    <w:rsid w:val="1B9E1C0F"/>
    <w:rsid w:val="1BAE4EF6"/>
    <w:rsid w:val="1BB63A65"/>
    <w:rsid w:val="1BBF43CB"/>
    <w:rsid w:val="1BC31CAE"/>
    <w:rsid w:val="1BCA303C"/>
    <w:rsid w:val="1BCF0653"/>
    <w:rsid w:val="1BDE2644"/>
    <w:rsid w:val="1BE37C5A"/>
    <w:rsid w:val="1BEF65FF"/>
    <w:rsid w:val="1BF27E9D"/>
    <w:rsid w:val="1C033E58"/>
    <w:rsid w:val="1C054074"/>
    <w:rsid w:val="1C1D13BE"/>
    <w:rsid w:val="1C2269D4"/>
    <w:rsid w:val="1C330BCB"/>
    <w:rsid w:val="1C3F7586"/>
    <w:rsid w:val="1C4A1A87"/>
    <w:rsid w:val="1C69015F"/>
    <w:rsid w:val="1C6F14EE"/>
    <w:rsid w:val="1C740A6F"/>
    <w:rsid w:val="1C760ACE"/>
    <w:rsid w:val="1C7B4336"/>
    <w:rsid w:val="1C800DF6"/>
    <w:rsid w:val="1C827473"/>
    <w:rsid w:val="1C8925AF"/>
    <w:rsid w:val="1C8C6544"/>
    <w:rsid w:val="1C915908"/>
    <w:rsid w:val="1C961170"/>
    <w:rsid w:val="1CA078F9"/>
    <w:rsid w:val="1CA84330"/>
    <w:rsid w:val="1CA96F8E"/>
    <w:rsid w:val="1CAC4A41"/>
    <w:rsid w:val="1CAD4631"/>
    <w:rsid w:val="1CB6711D"/>
    <w:rsid w:val="1CBD6E07"/>
    <w:rsid w:val="1CC41839"/>
    <w:rsid w:val="1CC45CDD"/>
    <w:rsid w:val="1CC926C9"/>
    <w:rsid w:val="1CCB0E1A"/>
    <w:rsid w:val="1CD51C99"/>
    <w:rsid w:val="1CDD28FB"/>
    <w:rsid w:val="1CF33ECD"/>
    <w:rsid w:val="1CF540E9"/>
    <w:rsid w:val="1CFC5477"/>
    <w:rsid w:val="1D061E52"/>
    <w:rsid w:val="1D0936F0"/>
    <w:rsid w:val="1D1C3424"/>
    <w:rsid w:val="1D1F13C3"/>
    <w:rsid w:val="1D217272"/>
    <w:rsid w:val="1D2624F4"/>
    <w:rsid w:val="1D28001A"/>
    <w:rsid w:val="1D2D3883"/>
    <w:rsid w:val="1D2E13A9"/>
    <w:rsid w:val="1D385D84"/>
    <w:rsid w:val="1D3C3AC6"/>
    <w:rsid w:val="1D440BCC"/>
    <w:rsid w:val="1D4666F2"/>
    <w:rsid w:val="1D484219"/>
    <w:rsid w:val="1D4B1F5B"/>
    <w:rsid w:val="1D4E55A7"/>
    <w:rsid w:val="1D596426"/>
    <w:rsid w:val="1D6152DA"/>
    <w:rsid w:val="1D70551D"/>
    <w:rsid w:val="1D743260"/>
    <w:rsid w:val="1D7A639C"/>
    <w:rsid w:val="1D813BCE"/>
    <w:rsid w:val="1D8E3BF5"/>
    <w:rsid w:val="1D905BC0"/>
    <w:rsid w:val="1D9B6A3E"/>
    <w:rsid w:val="1D9D4085"/>
    <w:rsid w:val="1DA358F3"/>
    <w:rsid w:val="1DA578BD"/>
    <w:rsid w:val="1DA67191"/>
    <w:rsid w:val="1DA84CB7"/>
    <w:rsid w:val="1DB83859"/>
    <w:rsid w:val="1DC31AF1"/>
    <w:rsid w:val="1DC427AE"/>
    <w:rsid w:val="1DC92B02"/>
    <w:rsid w:val="1DCA7323"/>
    <w:rsid w:val="1DCD2970"/>
    <w:rsid w:val="1DCF66E8"/>
    <w:rsid w:val="1DD20CB8"/>
    <w:rsid w:val="1DD27F86"/>
    <w:rsid w:val="1DE008F5"/>
    <w:rsid w:val="1DF24184"/>
    <w:rsid w:val="1E0A7720"/>
    <w:rsid w:val="1E1C7453"/>
    <w:rsid w:val="1E2426BB"/>
    <w:rsid w:val="1E276524"/>
    <w:rsid w:val="1E3D7AF5"/>
    <w:rsid w:val="1E401394"/>
    <w:rsid w:val="1E4F7829"/>
    <w:rsid w:val="1E620F09"/>
    <w:rsid w:val="1E74728F"/>
    <w:rsid w:val="1E7554E1"/>
    <w:rsid w:val="1E7B061E"/>
    <w:rsid w:val="1E9E60BA"/>
    <w:rsid w:val="1EA00084"/>
    <w:rsid w:val="1EA5569B"/>
    <w:rsid w:val="1EAC1D68"/>
    <w:rsid w:val="1EB458DE"/>
    <w:rsid w:val="1EB53B30"/>
    <w:rsid w:val="1EC43D73"/>
    <w:rsid w:val="1ECA6EAF"/>
    <w:rsid w:val="1ECC0E79"/>
    <w:rsid w:val="1ECE4BF1"/>
    <w:rsid w:val="1ED85A70"/>
    <w:rsid w:val="1EDC730E"/>
    <w:rsid w:val="1EED5752"/>
    <w:rsid w:val="1EF36406"/>
    <w:rsid w:val="1EF44B75"/>
    <w:rsid w:val="1EF8754F"/>
    <w:rsid w:val="1EF9476C"/>
    <w:rsid w:val="1EFF2FFD"/>
    <w:rsid w:val="1F050AA0"/>
    <w:rsid w:val="1F120F82"/>
    <w:rsid w:val="1F134CFA"/>
    <w:rsid w:val="1F327363"/>
    <w:rsid w:val="1F38650F"/>
    <w:rsid w:val="1F3E1D77"/>
    <w:rsid w:val="1F3F164B"/>
    <w:rsid w:val="1F43738D"/>
    <w:rsid w:val="1F470500"/>
    <w:rsid w:val="1F4E188E"/>
    <w:rsid w:val="1F52137F"/>
    <w:rsid w:val="1F5C3FAB"/>
    <w:rsid w:val="1F5F3A9B"/>
    <w:rsid w:val="1F617814"/>
    <w:rsid w:val="1F666BD8"/>
    <w:rsid w:val="1F6B2440"/>
    <w:rsid w:val="1F6E3CDF"/>
    <w:rsid w:val="1F6E6131"/>
    <w:rsid w:val="1F777037"/>
    <w:rsid w:val="1F7E6617"/>
    <w:rsid w:val="1F861028"/>
    <w:rsid w:val="1FA85442"/>
    <w:rsid w:val="1FAA11BB"/>
    <w:rsid w:val="1FB57B5F"/>
    <w:rsid w:val="1FB61240"/>
    <w:rsid w:val="1FC61D6D"/>
    <w:rsid w:val="1FC81833"/>
    <w:rsid w:val="1FCC2803"/>
    <w:rsid w:val="1FD61FB0"/>
    <w:rsid w:val="1FD955FC"/>
    <w:rsid w:val="1FDE0E64"/>
    <w:rsid w:val="1FE04BDC"/>
    <w:rsid w:val="1FE87F35"/>
    <w:rsid w:val="1FF40688"/>
    <w:rsid w:val="1FF73CD4"/>
    <w:rsid w:val="20020FF7"/>
    <w:rsid w:val="200A42EE"/>
    <w:rsid w:val="200C59D1"/>
    <w:rsid w:val="202251F5"/>
    <w:rsid w:val="202820DF"/>
    <w:rsid w:val="20384A18"/>
    <w:rsid w:val="20483A2C"/>
    <w:rsid w:val="20631369"/>
    <w:rsid w:val="20684BD2"/>
    <w:rsid w:val="206D3F96"/>
    <w:rsid w:val="206F20D9"/>
    <w:rsid w:val="207143EA"/>
    <w:rsid w:val="20796DDF"/>
    <w:rsid w:val="207B1DBD"/>
    <w:rsid w:val="207D242B"/>
    <w:rsid w:val="207E43F5"/>
    <w:rsid w:val="208539D6"/>
    <w:rsid w:val="209A0067"/>
    <w:rsid w:val="209B7B9A"/>
    <w:rsid w:val="20B120D5"/>
    <w:rsid w:val="20B322F1"/>
    <w:rsid w:val="20B83463"/>
    <w:rsid w:val="20C305B3"/>
    <w:rsid w:val="20C718F8"/>
    <w:rsid w:val="20C77B4A"/>
    <w:rsid w:val="20CC642B"/>
    <w:rsid w:val="20CF69FF"/>
    <w:rsid w:val="20D109C9"/>
    <w:rsid w:val="20E00C0C"/>
    <w:rsid w:val="20F12A4E"/>
    <w:rsid w:val="20F707EF"/>
    <w:rsid w:val="20FD356C"/>
    <w:rsid w:val="20FF1092"/>
    <w:rsid w:val="2100305C"/>
    <w:rsid w:val="21050673"/>
    <w:rsid w:val="21052421"/>
    <w:rsid w:val="2113585A"/>
    <w:rsid w:val="211B1C44"/>
    <w:rsid w:val="211B39F2"/>
    <w:rsid w:val="212152E8"/>
    <w:rsid w:val="212154AC"/>
    <w:rsid w:val="21254871"/>
    <w:rsid w:val="21260D15"/>
    <w:rsid w:val="21262AC3"/>
    <w:rsid w:val="21313216"/>
    <w:rsid w:val="21352D06"/>
    <w:rsid w:val="21494A03"/>
    <w:rsid w:val="215A09BE"/>
    <w:rsid w:val="215A4C82"/>
    <w:rsid w:val="215D400B"/>
    <w:rsid w:val="21816CDE"/>
    <w:rsid w:val="21937A2C"/>
    <w:rsid w:val="2197576F"/>
    <w:rsid w:val="21A1039B"/>
    <w:rsid w:val="21AF0D0A"/>
    <w:rsid w:val="21B50A93"/>
    <w:rsid w:val="21B75E11"/>
    <w:rsid w:val="21BF6A73"/>
    <w:rsid w:val="21C47618"/>
    <w:rsid w:val="21CE54A8"/>
    <w:rsid w:val="21D00C81"/>
    <w:rsid w:val="21E42201"/>
    <w:rsid w:val="21EE3A04"/>
    <w:rsid w:val="21F11302"/>
    <w:rsid w:val="21FC7CC7"/>
    <w:rsid w:val="21FD13D6"/>
    <w:rsid w:val="220628F4"/>
    <w:rsid w:val="220821C8"/>
    <w:rsid w:val="2210107D"/>
    <w:rsid w:val="2212736A"/>
    <w:rsid w:val="222D26F6"/>
    <w:rsid w:val="223E5BEA"/>
    <w:rsid w:val="22421B7E"/>
    <w:rsid w:val="22486A69"/>
    <w:rsid w:val="22576CAC"/>
    <w:rsid w:val="225B2C40"/>
    <w:rsid w:val="225B679C"/>
    <w:rsid w:val="226F3FF6"/>
    <w:rsid w:val="22794E74"/>
    <w:rsid w:val="227B0BEC"/>
    <w:rsid w:val="227C43E1"/>
    <w:rsid w:val="227E692E"/>
    <w:rsid w:val="2280410B"/>
    <w:rsid w:val="22853819"/>
    <w:rsid w:val="22895CC1"/>
    <w:rsid w:val="22AA14D2"/>
    <w:rsid w:val="22AC2C7E"/>
    <w:rsid w:val="22BF31CF"/>
    <w:rsid w:val="22C610F9"/>
    <w:rsid w:val="22D16A5E"/>
    <w:rsid w:val="22D60519"/>
    <w:rsid w:val="22E0486C"/>
    <w:rsid w:val="22E36792"/>
    <w:rsid w:val="22E5075C"/>
    <w:rsid w:val="22EB3FC4"/>
    <w:rsid w:val="22F62969"/>
    <w:rsid w:val="22FF0EAA"/>
    <w:rsid w:val="23152DEF"/>
    <w:rsid w:val="231A1F53"/>
    <w:rsid w:val="232079E6"/>
    <w:rsid w:val="2322550C"/>
    <w:rsid w:val="232F19D7"/>
    <w:rsid w:val="233139A1"/>
    <w:rsid w:val="233F60BE"/>
    <w:rsid w:val="23410FA0"/>
    <w:rsid w:val="23436852"/>
    <w:rsid w:val="234E6301"/>
    <w:rsid w:val="23531B69"/>
    <w:rsid w:val="235356C5"/>
    <w:rsid w:val="23553472"/>
    <w:rsid w:val="235959A4"/>
    <w:rsid w:val="235F050E"/>
    <w:rsid w:val="23621DAC"/>
    <w:rsid w:val="23627FFE"/>
    <w:rsid w:val="236478D2"/>
    <w:rsid w:val="236504BF"/>
    <w:rsid w:val="236B2A0F"/>
    <w:rsid w:val="2375388E"/>
    <w:rsid w:val="23867849"/>
    <w:rsid w:val="23887A65"/>
    <w:rsid w:val="23897339"/>
    <w:rsid w:val="238E60B6"/>
    <w:rsid w:val="23906919"/>
    <w:rsid w:val="23AD74CB"/>
    <w:rsid w:val="23B1063E"/>
    <w:rsid w:val="23B24AE2"/>
    <w:rsid w:val="23B4085A"/>
    <w:rsid w:val="23BF71FF"/>
    <w:rsid w:val="23CE2F9E"/>
    <w:rsid w:val="23D06D16"/>
    <w:rsid w:val="23D20CE0"/>
    <w:rsid w:val="23D9206E"/>
    <w:rsid w:val="23EF424C"/>
    <w:rsid w:val="23F30C56"/>
    <w:rsid w:val="23F944BF"/>
    <w:rsid w:val="23FF13A9"/>
    <w:rsid w:val="23FF499B"/>
    <w:rsid w:val="240864B0"/>
    <w:rsid w:val="240D46A2"/>
    <w:rsid w:val="24101808"/>
    <w:rsid w:val="24130F30"/>
    <w:rsid w:val="24172B97"/>
    <w:rsid w:val="241A4435"/>
    <w:rsid w:val="241E6EEC"/>
    <w:rsid w:val="24213A15"/>
    <w:rsid w:val="2423778D"/>
    <w:rsid w:val="24285115"/>
    <w:rsid w:val="24303C58"/>
    <w:rsid w:val="24392B0D"/>
    <w:rsid w:val="244119C2"/>
    <w:rsid w:val="244C7A76"/>
    <w:rsid w:val="2455546D"/>
    <w:rsid w:val="24577437"/>
    <w:rsid w:val="245C67FB"/>
    <w:rsid w:val="246F4781"/>
    <w:rsid w:val="247104F9"/>
    <w:rsid w:val="24747FE9"/>
    <w:rsid w:val="24773635"/>
    <w:rsid w:val="2479115B"/>
    <w:rsid w:val="247973AD"/>
    <w:rsid w:val="248024EA"/>
    <w:rsid w:val="2483647E"/>
    <w:rsid w:val="24837A72"/>
    <w:rsid w:val="249064A5"/>
    <w:rsid w:val="249408E8"/>
    <w:rsid w:val="249C5B18"/>
    <w:rsid w:val="24A106B2"/>
    <w:rsid w:val="24A2158D"/>
    <w:rsid w:val="24A24B56"/>
    <w:rsid w:val="24A26904"/>
    <w:rsid w:val="24A3267C"/>
    <w:rsid w:val="24B108F5"/>
    <w:rsid w:val="24B228BF"/>
    <w:rsid w:val="24B46637"/>
    <w:rsid w:val="24B6415E"/>
    <w:rsid w:val="24C70119"/>
    <w:rsid w:val="24C820E3"/>
    <w:rsid w:val="24D111FE"/>
    <w:rsid w:val="24DE5462"/>
    <w:rsid w:val="24E0742D"/>
    <w:rsid w:val="24E720E6"/>
    <w:rsid w:val="24EA3E07"/>
    <w:rsid w:val="24F15196"/>
    <w:rsid w:val="24F904EE"/>
    <w:rsid w:val="24FD1D8D"/>
    <w:rsid w:val="24FD3072"/>
    <w:rsid w:val="250009D8"/>
    <w:rsid w:val="25007ACF"/>
    <w:rsid w:val="25034EC9"/>
    <w:rsid w:val="250B4C70"/>
    <w:rsid w:val="250E3F9A"/>
    <w:rsid w:val="250E50C8"/>
    <w:rsid w:val="25137802"/>
    <w:rsid w:val="251B0465"/>
    <w:rsid w:val="251E54C0"/>
    <w:rsid w:val="2524556B"/>
    <w:rsid w:val="25257338"/>
    <w:rsid w:val="25257535"/>
    <w:rsid w:val="25273C4C"/>
    <w:rsid w:val="252B4B4C"/>
    <w:rsid w:val="253A38FD"/>
    <w:rsid w:val="25423C43"/>
    <w:rsid w:val="25461985"/>
    <w:rsid w:val="25475170"/>
    <w:rsid w:val="254E083A"/>
    <w:rsid w:val="2551032A"/>
    <w:rsid w:val="255120D8"/>
    <w:rsid w:val="25532109"/>
    <w:rsid w:val="25540030"/>
    <w:rsid w:val="25565941"/>
    <w:rsid w:val="255D282B"/>
    <w:rsid w:val="255D3A51"/>
    <w:rsid w:val="2564005E"/>
    <w:rsid w:val="2567514D"/>
    <w:rsid w:val="25726B2C"/>
    <w:rsid w:val="257A5FBD"/>
    <w:rsid w:val="25853B30"/>
    <w:rsid w:val="259C77F7"/>
    <w:rsid w:val="259F4BF2"/>
    <w:rsid w:val="25AD7F1A"/>
    <w:rsid w:val="25B05051"/>
    <w:rsid w:val="25B06BCF"/>
    <w:rsid w:val="25B22D78"/>
    <w:rsid w:val="25BF7042"/>
    <w:rsid w:val="25C44658"/>
    <w:rsid w:val="25DC4098"/>
    <w:rsid w:val="25DE2164"/>
    <w:rsid w:val="25FC2044"/>
    <w:rsid w:val="26054D70"/>
    <w:rsid w:val="26060670"/>
    <w:rsid w:val="2613738E"/>
    <w:rsid w:val="26167E3D"/>
    <w:rsid w:val="26192BF6"/>
    <w:rsid w:val="261C4E48"/>
    <w:rsid w:val="262275D1"/>
    <w:rsid w:val="2628108B"/>
    <w:rsid w:val="262D48F3"/>
    <w:rsid w:val="263A491A"/>
    <w:rsid w:val="264834DB"/>
    <w:rsid w:val="264D28A0"/>
    <w:rsid w:val="264E03C6"/>
    <w:rsid w:val="26543C2E"/>
    <w:rsid w:val="265A4FBD"/>
    <w:rsid w:val="26636FA8"/>
    <w:rsid w:val="26655E3B"/>
    <w:rsid w:val="26795443"/>
    <w:rsid w:val="267B565F"/>
    <w:rsid w:val="26881B2A"/>
    <w:rsid w:val="268A4C03"/>
    <w:rsid w:val="268B161A"/>
    <w:rsid w:val="268C261C"/>
    <w:rsid w:val="26920BFA"/>
    <w:rsid w:val="26964247"/>
    <w:rsid w:val="26997893"/>
    <w:rsid w:val="26AA1AA0"/>
    <w:rsid w:val="26C62652"/>
    <w:rsid w:val="26D60AE7"/>
    <w:rsid w:val="26E74AA2"/>
    <w:rsid w:val="26EF3957"/>
    <w:rsid w:val="26F251F5"/>
    <w:rsid w:val="26F96584"/>
    <w:rsid w:val="26FB054E"/>
    <w:rsid w:val="26FD42C6"/>
    <w:rsid w:val="270218DC"/>
    <w:rsid w:val="27064AA3"/>
    <w:rsid w:val="27082C6B"/>
    <w:rsid w:val="27117D71"/>
    <w:rsid w:val="2714160F"/>
    <w:rsid w:val="272950BB"/>
    <w:rsid w:val="272C408E"/>
    <w:rsid w:val="27343A60"/>
    <w:rsid w:val="2734580E"/>
    <w:rsid w:val="273A78A7"/>
    <w:rsid w:val="274200B7"/>
    <w:rsid w:val="274719E5"/>
    <w:rsid w:val="274A3DA9"/>
    <w:rsid w:val="2752147D"/>
    <w:rsid w:val="2761728D"/>
    <w:rsid w:val="276460F3"/>
    <w:rsid w:val="276C3578"/>
    <w:rsid w:val="27711845"/>
    <w:rsid w:val="277C287E"/>
    <w:rsid w:val="277F2F2D"/>
    <w:rsid w:val="27840D89"/>
    <w:rsid w:val="278422F1"/>
    <w:rsid w:val="27846795"/>
    <w:rsid w:val="278E3170"/>
    <w:rsid w:val="27910EB2"/>
    <w:rsid w:val="279462AC"/>
    <w:rsid w:val="27A24E6D"/>
    <w:rsid w:val="27A64505"/>
    <w:rsid w:val="27A72484"/>
    <w:rsid w:val="27A75FE0"/>
    <w:rsid w:val="27A85F06"/>
    <w:rsid w:val="27B23302"/>
    <w:rsid w:val="27B34984"/>
    <w:rsid w:val="27BF157B"/>
    <w:rsid w:val="27C941A8"/>
    <w:rsid w:val="27CC2F8C"/>
    <w:rsid w:val="27CC5A46"/>
    <w:rsid w:val="27EE00B2"/>
    <w:rsid w:val="27F66287"/>
    <w:rsid w:val="27FC457D"/>
    <w:rsid w:val="28017DE6"/>
    <w:rsid w:val="280519ED"/>
    <w:rsid w:val="28081174"/>
    <w:rsid w:val="280B4461"/>
    <w:rsid w:val="28214C0B"/>
    <w:rsid w:val="282633A8"/>
    <w:rsid w:val="28294D90"/>
    <w:rsid w:val="28357A8F"/>
    <w:rsid w:val="28416802"/>
    <w:rsid w:val="28445F24"/>
    <w:rsid w:val="28460CE9"/>
    <w:rsid w:val="284F6DA3"/>
    <w:rsid w:val="285919D0"/>
    <w:rsid w:val="285B1F7A"/>
    <w:rsid w:val="285B47F6"/>
    <w:rsid w:val="285D2B42"/>
    <w:rsid w:val="28642123"/>
    <w:rsid w:val="286E6AFD"/>
    <w:rsid w:val="28795BCE"/>
    <w:rsid w:val="287F55F1"/>
    <w:rsid w:val="288602EB"/>
    <w:rsid w:val="288F719F"/>
    <w:rsid w:val="2890116A"/>
    <w:rsid w:val="28947A53"/>
    <w:rsid w:val="28991DCC"/>
    <w:rsid w:val="28A013AD"/>
    <w:rsid w:val="28B5472C"/>
    <w:rsid w:val="28B704A4"/>
    <w:rsid w:val="28BA7F95"/>
    <w:rsid w:val="28C037FD"/>
    <w:rsid w:val="28CA01D8"/>
    <w:rsid w:val="28D14423"/>
    <w:rsid w:val="28E11534"/>
    <w:rsid w:val="28EA1EBD"/>
    <w:rsid w:val="28F90ABD"/>
    <w:rsid w:val="28F95257"/>
    <w:rsid w:val="29015BC3"/>
    <w:rsid w:val="290A4A78"/>
    <w:rsid w:val="29114058"/>
    <w:rsid w:val="29127DD1"/>
    <w:rsid w:val="292024ED"/>
    <w:rsid w:val="29235B3A"/>
    <w:rsid w:val="292673D8"/>
    <w:rsid w:val="2929001F"/>
    <w:rsid w:val="293164A9"/>
    <w:rsid w:val="29455AB0"/>
    <w:rsid w:val="29491A44"/>
    <w:rsid w:val="294A1318"/>
    <w:rsid w:val="294A57BC"/>
    <w:rsid w:val="294B6851"/>
    <w:rsid w:val="294B77A1"/>
    <w:rsid w:val="29575C73"/>
    <w:rsid w:val="29600B3C"/>
    <w:rsid w:val="29657F00"/>
    <w:rsid w:val="29680470"/>
    <w:rsid w:val="296A3769"/>
    <w:rsid w:val="296E3259"/>
    <w:rsid w:val="297208B4"/>
    <w:rsid w:val="297F5466"/>
    <w:rsid w:val="29824F56"/>
    <w:rsid w:val="298476AB"/>
    <w:rsid w:val="29852351"/>
    <w:rsid w:val="298760C9"/>
    <w:rsid w:val="299F78B6"/>
    <w:rsid w:val="29AE7AF9"/>
    <w:rsid w:val="29B36EBE"/>
    <w:rsid w:val="29BD5F8E"/>
    <w:rsid w:val="29C15A7E"/>
    <w:rsid w:val="29C410CB"/>
    <w:rsid w:val="29C73BA9"/>
    <w:rsid w:val="29D240FF"/>
    <w:rsid w:val="29EE6148"/>
    <w:rsid w:val="29F01EC0"/>
    <w:rsid w:val="29F8110E"/>
    <w:rsid w:val="2A0903F4"/>
    <w:rsid w:val="2A2A3FBC"/>
    <w:rsid w:val="2A2F6E8A"/>
    <w:rsid w:val="2A314286"/>
    <w:rsid w:val="2A411D9F"/>
    <w:rsid w:val="2A446189"/>
    <w:rsid w:val="2A473181"/>
    <w:rsid w:val="2A4C2E6E"/>
    <w:rsid w:val="2A552613"/>
    <w:rsid w:val="2A5561C7"/>
    <w:rsid w:val="2A5F56DB"/>
    <w:rsid w:val="2A636B36"/>
    <w:rsid w:val="2A6B59EA"/>
    <w:rsid w:val="2A704DAF"/>
    <w:rsid w:val="2A8020CA"/>
    <w:rsid w:val="2A881DD7"/>
    <w:rsid w:val="2A9A007E"/>
    <w:rsid w:val="2AA84549"/>
    <w:rsid w:val="2AB7478C"/>
    <w:rsid w:val="2ABD5385"/>
    <w:rsid w:val="2ABE58CF"/>
    <w:rsid w:val="2AD03A9F"/>
    <w:rsid w:val="2AD215C5"/>
    <w:rsid w:val="2AD83F7C"/>
    <w:rsid w:val="2AEF3F25"/>
    <w:rsid w:val="2AF252E6"/>
    <w:rsid w:val="2AF50EB8"/>
    <w:rsid w:val="2AF552B4"/>
    <w:rsid w:val="2AF91248"/>
    <w:rsid w:val="2AFE4A93"/>
    <w:rsid w:val="2AFF0777"/>
    <w:rsid w:val="2B051220"/>
    <w:rsid w:val="2B147E30"/>
    <w:rsid w:val="2B183430"/>
    <w:rsid w:val="2B204A27"/>
    <w:rsid w:val="2B287437"/>
    <w:rsid w:val="2B2F4C6A"/>
    <w:rsid w:val="2B367DA6"/>
    <w:rsid w:val="2B410686"/>
    <w:rsid w:val="2B4470C3"/>
    <w:rsid w:val="2B473D61"/>
    <w:rsid w:val="2B4A1AA4"/>
    <w:rsid w:val="2B633863"/>
    <w:rsid w:val="2B667F60"/>
    <w:rsid w:val="2B6C0CC0"/>
    <w:rsid w:val="2B6E5792"/>
    <w:rsid w:val="2B7408CF"/>
    <w:rsid w:val="2B802F27"/>
    <w:rsid w:val="2B9810D6"/>
    <w:rsid w:val="2BA55370"/>
    <w:rsid w:val="2BAD5B8F"/>
    <w:rsid w:val="2BB313F7"/>
    <w:rsid w:val="2BB331A5"/>
    <w:rsid w:val="2BB84E1F"/>
    <w:rsid w:val="2BBB474F"/>
    <w:rsid w:val="2BBD471E"/>
    <w:rsid w:val="2BC058C2"/>
    <w:rsid w:val="2BC37160"/>
    <w:rsid w:val="2BC41BFF"/>
    <w:rsid w:val="2BC52ED8"/>
    <w:rsid w:val="2BC55A49"/>
    <w:rsid w:val="2BCA04EF"/>
    <w:rsid w:val="2BCD61C1"/>
    <w:rsid w:val="2BD575BF"/>
    <w:rsid w:val="2BDF043E"/>
    <w:rsid w:val="2BE23A8A"/>
    <w:rsid w:val="2BEE0681"/>
    <w:rsid w:val="2BFD6B16"/>
    <w:rsid w:val="2C063C1D"/>
    <w:rsid w:val="2C070B8A"/>
    <w:rsid w:val="2C0E0986"/>
    <w:rsid w:val="2C0E7A44"/>
    <w:rsid w:val="2C24182D"/>
    <w:rsid w:val="2C2440A3"/>
    <w:rsid w:val="2C282DAC"/>
    <w:rsid w:val="2C2D6D7E"/>
    <w:rsid w:val="2C370C0C"/>
    <w:rsid w:val="2C3D33B6"/>
    <w:rsid w:val="2C452102"/>
    <w:rsid w:val="2C46226B"/>
    <w:rsid w:val="2C477D91"/>
    <w:rsid w:val="2C493FB6"/>
    <w:rsid w:val="2C520C10"/>
    <w:rsid w:val="2C576226"/>
    <w:rsid w:val="2C5A3D39"/>
    <w:rsid w:val="2C624BCB"/>
    <w:rsid w:val="2C6E531E"/>
    <w:rsid w:val="2C6F0A0B"/>
    <w:rsid w:val="2C7E7C57"/>
    <w:rsid w:val="2C7F752B"/>
    <w:rsid w:val="2C862667"/>
    <w:rsid w:val="2C9C00DD"/>
    <w:rsid w:val="2CB31140"/>
    <w:rsid w:val="2CC55886"/>
    <w:rsid w:val="2CD64829"/>
    <w:rsid w:val="2CD72920"/>
    <w:rsid w:val="2CDB5233"/>
    <w:rsid w:val="2CE43832"/>
    <w:rsid w:val="2CEA6A57"/>
    <w:rsid w:val="2CF9552F"/>
    <w:rsid w:val="2CFE66A2"/>
    <w:rsid w:val="2CFF066C"/>
    <w:rsid w:val="2D03015C"/>
    <w:rsid w:val="2D102879"/>
    <w:rsid w:val="2D12214D"/>
    <w:rsid w:val="2D151C3D"/>
    <w:rsid w:val="2D1660E1"/>
    <w:rsid w:val="2D2B7271"/>
    <w:rsid w:val="2D350E15"/>
    <w:rsid w:val="2D3D2650"/>
    <w:rsid w:val="2D410C84"/>
    <w:rsid w:val="2D5664DE"/>
    <w:rsid w:val="2D630BFB"/>
    <w:rsid w:val="2D6A1F89"/>
    <w:rsid w:val="2D727090"/>
    <w:rsid w:val="2D744BB6"/>
    <w:rsid w:val="2D8C63A3"/>
    <w:rsid w:val="2D945258"/>
    <w:rsid w:val="2DA03BFD"/>
    <w:rsid w:val="2DA74F8B"/>
    <w:rsid w:val="2DB53988"/>
    <w:rsid w:val="2DBE22D5"/>
    <w:rsid w:val="2DCC054E"/>
    <w:rsid w:val="2DCF44E2"/>
    <w:rsid w:val="2DE24215"/>
    <w:rsid w:val="2DE955A4"/>
    <w:rsid w:val="2DEE33F5"/>
    <w:rsid w:val="2DFF6B75"/>
    <w:rsid w:val="2E0028ED"/>
    <w:rsid w:val="2E00644A"/>
    <w:rsid w:val="2E057F04"/>
    <w:rsid w:val="2E08725C"/>
    <w:rsid w:val="2E110657"/>
    <w:rsid w:val="2E110D45"/>
    <w:rsid w:val="2E1A575D"/>
    <w:rsid w:val="2E1B03EE"/>
    <w:rsid w:val="2E1B5399"/>
    <w:rsid w:val="2E1B745D"/>
    <w:rsid w:val="2E1E4B22"/>
    <w:rsid w:val="2E271C28"/>
    <w:rsid w:val="2E2760CC"/>
    <w:rsid w:val="2E2A1718"/>
    <w:rsid w:val="2E425517"/>
    <w:rsid w:val="2E4F73D4"/>
    <w:rsid w:val="2E6A1B5B"/>
    <w:rsid w:val="2E6C3ADF"/>
    <w:rsid w:val="2E6E7857"/>
    <w:rsid w:val="2E76495E"/>
    <w:rsid w:val="2E772BB0"/>
    <w:rsid w:val="2E8157DC"/>
    <w:rsid w:val="2E861945"/>
    <w:rsid w:val="2E864BA1"/>
    <w:rsid w:val="2E892307"/>
    <w:rsid w:val="2E89643F"/>
    <w:rsid w:val="2E8D010F"/>
    <w:rsid w:val="2E8D5286"/>
    <w:rsid w:val="2E8E614B"/>
    <w:rsid w:val="2EA17C2D"/>
    <w:rsid w:val="2EA43279"/>
    <w:rsid w:val="2EA63495"/>
    <w:rsid w:val="2EA9088F"/>
    <w:rsid w:val="2EB55486"/>
    <w:rsid w:val="2EBE07DF"/>
    <w:rsid w:val="2EC41B6D"/>
    <w:rsid w:val="2ED27DE6"/>
    <w:rsid w:val="2ED40002"/>
    <w:rsid w:val="2EDA313F"/>
    <w:rsid w:val="2EDC1978"/>
    <w:rsid w:val="2EE8585B"/>
    <w:rsid w:val="2EF266DA"/>
    <w:rsid w:val="2F0361F1"/>
    <w:rsid w:val="2F083808"/>
    <w:rsid w:val="2F0B4003"/>
    <w:rsid w:val="2F1F0B51"/>
    <w:rsid w:val="2F234AE5"/>
    <w:rsid w:val="2F2820FC"/>
    <w:rsid w:val="2F2F348A"/>
    <w:rsid w:val="2F4131BE"/>
    <w:rsid w:val="2F5527C5"/>
    <w:rsid w:val="2F5876BD"/>
    <w:rsid w:val="2F6A44C2"/>
    <w:rsid w:val="2F7470EF"/>
    <w:rsid w:val="2F794705"/>
    <w:rsid w:val="2F805A94"/>
    <w:rsid w:val="2F827A5E"/>
    <w:rsid w:val="2F8310E0"/>
    <w:rsid w:val="2F8B18C7"/>
    <w:rsid w:val="2F917769"/>
    <w:rsid w:val="2F9257C7"/>
    <w:rsid w:val="2F971030"/>
    <w:rsid w:val="2F9C21A2"/>
    <w:rsid w:val="2FA379D4"/>
    <w:rsid w:val="2FA572A9"/>
    <w:rsid w:val="2FAF0127"/>
    <w:rsid w:val="2FAF6379"/>
    <w:rsid w:val="2FBC2844"/>
    <w:rsid w:val="2FC0496B"/>
    <w:rsid w:val="2FC811E9"/>
    <w:rsid w:val="2FDB2CCA"/>
    <w:rsid w:val="2FE51D9B"/>
    <w:rsid w:val="2FF81ACE"/>
    <w:rsid w:val="2FF95846"/>
    <w:rsid w:val="2FFB336C"/>
    <w:rsid w:val="30032221"/>
    <w:rsid w:val="300A35B0"/>
    <w:rsid w:val="300A7A53"/>
    <w:rsid w:val="300D4E4E"/>
    <w:rsid w:val="30134B9E"/>
    <w:rsid w:val="301601A6"/>
    <w:rsid w:val="302723B3"/>
    <w:rsid w:val="30297EDA"/>
    <w:rsid w:val="3035148A"/>
    <w:rsid w:val="30356FF9"/>
    <w:rsid w:val="304F5466"/>
    <w:rsid w:val="305331A8"/>
    <w:rsid w:val="30542A7D"/>
    <w:rsid w:val="30550CCF"/>
    <w:rsid w:val="30562C99"/>
    <w:rsid w:val="30607673"/>
    <w:rsid w:val="3062519A"/>
    <w:rsid w:val="306509A3"/>
    <w:rsid w:val="30744ECD"/>
    <w:rsid w:val="307A24E3"/>
    <w:rsid w:val="3082583C"/>
    <w:rsid w:val="30977539"/>
    <w:rsid w:val="309D2676"/>
    <w:rsid w:val="30A13F14"/>
    <w:rsid w:val="30A27C8C"/>
    <w:rsid w:val="30A8036D"/>
    <w:rsid w:val="30AF7FEE"/>
    <w:rsid w:val="30B8300C"/>
    <w:rsid w:val="30BA3228"/>
    <w:rsid w:val="30BA4FD6"/>
    <w:rsid w:val="30BD4AC6"/>
    <w:rsid w:val="30BF25EC"/>
    <w:rsid w:val="30C145B6"/>
    <w:rsid w:val="30D047F9"/>
    <w:rsid w:val="30DD2A72"/>
    <w:rsid w:val="30E20088"/>
    <w:rsid w:val="30E262DA"/>
    <w:rsid w:val="30F05CBE"/>
    <w:rsid w:val="30FD4EC2"/>
    <w:rsid w:val="31061FC9"/>
    <w:rsid w:val="310811F3"/>
    <w:rsid w:val="31091AB9"/>
    <w:rsid w:val="31113116"/>
    <w:rsid w:val="31181CFC"/>
    <w:rsid w:val="311D7312"/>
    <w:rsid w:val="31216E03"/>
    <w:rsid w:val="312B7C81"/>
    <w:rsid w:val="313B5DBE"/>
    <w:rsid w:val="313F0856"/>
    <w:rsid w:val="31405762"/>
    <w:rsid w:val="3145159C"/>
    <w:rsid w:val="31456F95"/>
    <w:rsid w:val="314B20D2"/>
    <w:rsid w:val="314E6E34"/>
    <w:rsid w:val="314F3970"/>
    <w:rsid w:val="31532D34"/>
    <w:rsid w:val="315E0E80"/>
    <w:rsid w:val="31602478"/>
    <w:rsid w:val="31605251"/>
    <w:rsid w:val="31612F97"/>
    <w:rsid w:val="317621BF"/>
    <w:rsid w:val="318900E4"/>
    <w:rsid w:val="31890EAB"/>
    <w:rsid w:val="319423C3"/>
    <w:rsid w:val="31A0241D"/>
    <w:rsid w:val="31B82C24"/>
    <w:rsid w:val="31B859B9"/>
    <w:rsid w:val="31C53C32"/>
    <w:rsid w:val="31C679AA"/>
    <w:rsid w:val="31CF685F"/>
    <w:rsid w:val="31D04385"/>
    <w:rsid w:val="31E0281A"/>
    <w:rsid w:val="31E60A94"/>
    <w:rsid w:val="31EF6F01"/>
    <w:rsid w:val="31FC517A"/>
    <w:rsid w:val="31FD7870"/>
    <w:rsid w:val="320329AC"/>
    <w:rsid w:val="320A7897"/>
    <w:rsid w:val="32292413"/>
    <w:rsid w:val="32496611"/>
    <w:rsid w:val="324F79A0"/>
    <w:rsid w:val="325925CC"/>
    <w:rsid w:val="325B6344"/>
    <w:rsid w:val="3260395B"/>
    <w:rsid w:val="3264344B"/>
    <w:rsid w:val="32691929"/>
    <w:rsid w:val="326C0551"/>
    <w:rsid w:val="32747406"/>
    <w:rsid w:val="3276317E"/>
    <w:rsid w:val="327B0795"/>
    <w:rsid w:val="32821B23"/>
    <w:rsid w:val="329D070B"/>
    <w:rsid w:val="32A63A63"/>
    <w:rsid w:val="32AC6BA0"/>
    <w:rsid w:val="32B83797"/>
    <w:rsid w:val="32C22AB4"/>
    <w:rsid w:val="32C95033"/>
    <w:rsid w:val="32D3412D"/>
    <w:rsid w:val="32DF0D23"/>
    <w:rsid w:val="32E20814"/>
    <w:rsid w:val="32E620B2"/>
    <w:rsid w:val="32EB1476"/>
    <w:rsid w:val="32F439D7"/>
    <w:rsid w:val="32F74E42"/>
    <w:rsid w:val="32FA3DAF"/>
    <w:rsid w:val="32FC6EE5"/>
    <w:rsid w:val="331309CD"/>
    <w:rsid w:val="33182487"/>
    <w:rsid w:val="33195C7C"/>
    <w:rsid w:val="33294694"/>
    <w:rsid w:val="33412AB9"/>
    <w:rsid w:val="33415E02"/>
    <w:rsid w:val="334A3B6B"/>
    <w:rsid w:val="33527747"/>
    <w:rsid w:val="336254B1"/>
    <w:rsid w:val="337376BE"/>
    <w:rsid w:val="33792F26"/>
    <w:rsid w:val="33811DDB"/>
    <w:rsid w:val="338D077F"/>
    <w:rsid w:val="33957634"/>
    <w:rsid w:val="33AB4C15"/>
    <w:rsid w:val="33AC6D77"/>
    <w:rsid w:val="33AD0E22"/>
    <w:rsid w:val="33B10912"/>
    <w:rsid w:val="33B977C6"/>
    <w:rsid w:val="33BE302F"/>
    <w:rsid w:val="33BE4DDD"/>
    <w:rsid w:val="33D357A5"/>
    <w:rsid w:val="33E56222"/>
    <w:rsid w:val="33F95E15"/>
    <w:rsid w:val="34036C94"/>
    <w:rsid w:val="34056568"/>
    <w:rsid w:val="340622E0"/>
    <w:rsid w:val="34073862"/>
    <w:rsid w:val="340842AA"/>
    <w:rsid w:val="340D18C0"/>
    <w:rsid w:val="341B03E2"/>
    <w:rsid w:val="34254E5C"/>
    <w:rsid w:val="343926B5"/>
    <w:rsid w:val="345614B9"/>
    <w:rsid w:val="34580D8D"/>
    <w:rsid w:val="34684D49"/>
    <w:rsid w:val="346E05B1"/>
    <w:rsid w:val="34763909"/>
    <w:rsid w:val="3477346D"/>
    <w:rsid w:val="34887D3E"/>
    <w:rsid w:val="348C4EDB"/>
    <w:rsid w:val="349A13A6"/>
    <w:rsid w:val="34A00986"/>
    <w:rsid w:val="34A264AC"/>
    <w:rsid w:val="34AB2F17"/>
    <w:rsid w:val="34B30267"/>
    <w:rsid w:val="34BF0E0C"/>
    <w:rsid w:val="34CB7535"/>
    <w:rsid w:val="34CD748C"/>
    <w:rsid w:val="34CE54F3"/>
    <w:rsid w:val="34D128EE"/>
    <w:rsid w:val="34D20529"/>
    <w:rsid w:val="34D32B0A"/>
    <w:rsid w:val="34D643A8"/>
    <w:rsid w:val="34D67F04"/>
    <w:rsid w:val="34DA5C46"/>
    <w:rsid w:val="34E00D83"/>
    <w:rsid w:val="34F07218"/>
    <w:rsid w:val="34FA0097"/>
    <w:rsid w:val="34FD36E3"/>
    <w:rsid w:val="35211654"/>
    <w:rsid w:val="35233101"/>
    <w:rsid w:val="35260EA3"/>
    <w:rsid w:val="3529097C"/>
    <w:rsid w:val="352C3FC8"/>
    <w:rsid w:val="352F7B00"/>
    <w:rsid w:val="3538296D"/>
    <w:rsid w:val="35383256"/>
    <w:rsid w:val="353C625C"/>
    <w:rsid w:val="353D61D5"/>
    <w:rsid w:val="353E6FE0"/>
    <w:rsid w:val="35415CC5"/>
    <w:rsid w:val="35417A73"/>
    <w:rsid w:val="35551771"/>
    <w:rsid w:val="3555351F"/>
    <w:rsid w:val="355B2CDD"/>
    <w:rsid w:val="355F41C7"/>
    <w:rsid w:val="355F5BD4"/>
    <w:rsid w:val="356E45E1"/>
    <w:rsid w:val="356E638F"/>
    <w:rsid w:val="35714BF8"/>
    <w:rsid w:val="35777939"/>
    <w:rsid w:val="3583008C"/>
    <w:rsid w:val="35843E04"/>
    <w:rsid w:val="358C76F9"/>
    <w:rsid w:val="35B53C53"/>
    <w:rsid w:val="35B77D36"/>
    <w:rsid w:val="35C9101D"/>
    <w:rsid w:val="35CE2F97"/>
    <w:rsid w:val="35D07BC9"/>
    <w:rsid w:val="35D419DA"/>
    <w:rsid w:val="35D66BA3"/>
    <w:rsid w:val="35DA1C76"/>
    <w:rsid w:val="35DE3514"/>
    <w:rsid w:val="35EB79DF"/>
    <w:rsid w:val="35EF74CF"/>
    <w:rsid w:val="35F20D6E"/>
    <w:rsid w:val="35F44AE6"/>
    <w:rsid w:val="35F83418"/>
    <w:rsid w:val="35FC1BEC"/>
    <w:rsid w:val="36017D80"/>
    <w:rsid w:val="360D5BA8"/>
    <w:rsid w:val="360F3372"/>
    <w:rsid w:val="36107446"/>
    <w:rsid w:val="36116DAA"/>
    <w:rsid w:val="361433DA"/>
    <w:rsid w:val="361B6516"/>
    <w:rsid w:val="36327824"/>
    <w:rsid w:val="36372C24"/>
    <w:rsid w:val="363B44C3"/>
    <w:rsid w:val="36462E68"/>
    <w:rsid w:val="364A2958"/>
    <w:rsid w:val="364C4922"/>
    <w:rsid w:val="3658153F"/>
    <w:rsid w:val="365D0BBE"/>
    <w:rsid w:val="3667350A"/>
    <w:rsid w:val="366E10D7"/>
    <w:rsid w:val="36714707"/>
    <w:rsid w:val="36745C27"/>
    <w:rsid w:val="367774C5"/>
    <w:rsid w:val="367B2B54"/>
    <w:rsid w:val="367B5207"/>
    <w:rsid w:val="36820344"/>
    <w:rsid w:val="368A71F8"/>
    <w:rsid w:val="369B7657"/>
    <w:rsid w:val="36AA0802"/>
    <w:rsid w:val="36AC3612"/>
    <w:rsid w:val="36AC716F"/>
    <w:rsid w:val="36C12ABA"/>
    <w:rsid w:val="36D81994"/>
    <w:rsid w:val="36D87F64"/>
    <w:rsid w:val="36E21FAB"/>
    <w:rsid w:val="36E903C3"/>
    <w:rsid w:val="36EB5B04"/>
    <w:rsid w:val="36EC3A0F"/>
    <w:rsid w:val="36EC7EB3"/>
    <w:rsid w:val="36F80606"/>
    <w:rsid w:val="37022309"/>
    <w:rsid w:val="37056FD0"/>
    <w:rsid w:val="370577C7"/>
    <w:rsid w:val="37070849"/>
    <w:rsid w:val="37160A8C"/>
    <w:rsid w:val="37215F74"/>
    <w:rsid w:val="373F2B29"/>
    <w:rsid w:val="37476E97"/>
    <w:rsid w:val="37492C0F"/>
    <w:rsid w:val="374C440A"/>
    <w:rsid w:val="37557806"/>
    <w:rsid w:val="375717D0"/>
    <w:rsid w:val="375A306E"/>
    <w:rsid w:val="376712E7"/>
    <w:rsid w:val="37704640"/>
    <w:rsid w:val="37735EDE"/>
    <w:rsid w:val="37755CB2"/>
    <w:rsid w:val="37787DFE"/>
    <w:rsid w:val="377B5B50"/>
    <w:rsid w:val="37865C12"/>
    <w:rsid w:val="378A6E0D"/>
    <w:rsid w:val="378D6FA0"/>
    <w:rsid w:val="37904CE2"/>
    <w:rsid w:val="37A12A4B"/>
    <w:rsid w:val="37B07132"/>
    <w:rsid w:val="37B07EDB"/>
    <w:rsid w:val="37B3277F"/>
    <w:rsid w:val="37B7401D"/>
    <w:rsid w:val="37C05A95"/>
    <w:rsid w:val="37C116E8"/>
    <w:rsid w:val="37C93D50"/>
    <w:rsid w:val="37CF5A51"/>
    <w:rsid w:val="37D420C8"/>
    <w:rsid w:val="37D50FEE"/>
    <w:rsid w:val="37E172EC"/>
    <w:rsid w:val="37E33064"/>
    <w:rsid w:val="37E868CC"/>
    <w:rsid w:val="37ED58D2"/>
    <w:rsid w:val="37F214F9"/>
    <w:rsid w:val="37F608ED"/>
    <w:rsid w:val="37F64CE1"/>
    <w:rsid w:val="37FB4AF5"/>
    <w:rsid w:val="38062B18"/>
    <w:rsid w:val="3809239F"/>
    <w:rsid w:val="381855C7"/>
    <w:rsid w:val="381E22EE"/>
    <w:rsid w:val="38286CC9"/>
    <w:rsid w:val="382A0958"/>
    <w:rsid w:val="38305B7D"/>
    <w:rsid w:val="383438BF"/>
    <w:rsid w:val="3839587C"/>
    <w:rsid w:val="3842422E"/>
    <w:rsid w:val="384358B1"/>
    <w:rsid w:val="3845787B"/>
    <w:rsid w:val="384D2BD3"/>
    <w:rsid w:val="385F2AC6"/>
    <w:rsid w:val="38795776"/>
    <w:rsid w:val="387E4B3B"/>
    <w:rsid w:val="38836865"/>
    <w:rsid w:val="388F0AF6"/>
    <w:rsid w:val="388F38E4"/>
    <w:rsid w:val="389C5B17"/>
    <w:rsid w:val="389C60A9"/>
    <w:rsid w:val="38AE3672"/>
    <w:rsid w:val="38B60778"/>
    <w:rsid w:val="38B63D26"/>
    <w:rsid w:val="38B95B73"/>
    <w:rsid w:val="38BB18EB"/>
    <w:rsid w:val="38C46E91"/>
    <w:rsid w:val="38C974A9"/>
    <w:rsid w:val="38CD161E"/>
    <w:rsid w:val="38CF183A"/>
    <w:rsid w:val="38DB01DF"/>
    <w:rsid w:val="38E2005D"/>
    <w:rsid w:val="38EC7CF6"/>
    <w:rsid w:val="38EF5A38"/>
    <w:rsid w:val="38FB262F"/>
    <w:rsid w:val="38FD63A7"/>
    <w:rsid w:val="38FF5FAB"/>
    <w:rsid w:val="39003EDF"/>
    <w:rsid w:val="391A2AB5"/>
    <w:rsid w:val="391C048E"/>
    <w:rsid w:val="392A79B1"/>
    <w:rsid w:val="393022D9"/>
    <w:rsid w:val="39331DC9"/>
    <w:rsid w:val="39365F34"/>
    <w:rsid w:val="393873DF"/>
    <w:rsid w:val="393B0C7E"/>
    <w:rsid w:val="393B2A2C"/>
    <w:rsid w:val="393F076E"/>
    <w:rsid w:val="394418E0"/>
    <w:rsid w:val="394C4C39"/>
    <w:rsid w:val="394E6C03"/>
    <w:rsid w:val="395104A1"/>
    <w:rsid w:val="395F2BBE"/>
    <w:rsid w:val="396C0E37"/>
    <w:rsid w:val="396E4BAF"/>
    <w:rsid w:val="39706CD7"/>
    <w:rsid w:val="3971469F"/>
    <w:rsid w:val="39736669"/>
    <w:rsid w:val="3976019F"/>
    <w:rsid w:val="39761CB6"/>
    <w:rsid w:val="397E135B"/>
    <w:rsid w:val="397E36C5"/>
    <w:rsid w:val="399F5A3C"/>
    <w:rsid w:val="39A033FE"/>
    <w:rsid w:val="39A22AAB"/>
    <w:rsid w:val="39AB6D88"/>
    <w:rsid w:val="39AB7BB1"/>
    <w:rsid w:val="39C649EB"/>
    <w:rsid w:val="39C70C72"/>
    <w:rsid w:val="39D4007E"/>
    <w:rsid w:val="39E921A3"/>
    <w:rsid w:val="39F2758E"/>
    <w:rsid w:val="39F71049"/>
    <w:rsid w:val="3A080B60"/>
    <w:rsid w:val="3A192D6D"/>
    <w:rsid w:val="3A211C22"/>
    <w:rsid w:val="3A305611"/>
    <w:rsid w:val="3A325BDD"/>
    <w:rsid w:val="3A414072"/>
    <w:rsid w:val="3A437DEA"/>
    <w:rsid w:val="3A4A73CA"/>
    <w:rsid w:val="3A4C3347"/>
    <w:rsid w:val="3A4D7408"/>
    <w:rsid w:val="3A4F7CF4"/>
    <w:rsid w:val="3A557B1D"/>
    <w:rsid w:val="3A571AE7"/>
    <w:rsid w:val="3A5E4C24"/>
    <w:rsid w:val="3A6F0BDF"/>
    <w:rsid w:val="3A7461F5"/>
    <w:rsid w:val="3A8328DC"/>
    <w:rsid w:val="3A886068"/>
    <w:rsid w:val="3A8F1281"/>
    <w:rsid w:val="3A931772"/>
    <w:rsid w:val="3A960861"/>
    <w:rsid w:val="3A9C399E"/>
    <w:rsid w:val="3AB544B8"/>
    <w:rsid w:val="3AB71BE2"/>
    <w:rsid w:val="3ABC194A"/>
    <w:rsid w:val="3AC51F20"/>
    <w:rsid w:val="3AC802EF"/>
    <w:rsid w:val="3ACF78CF"/>
    <w:rsid w:val="3AD153F6"/>
    <w:rsid w:val="3AD273C0"/>
    <w:rsid w:val="3ADB2718"/>
    <w:rsid w:val="3ADB44C6"/>
    <w:rsid w:val="3AE93E9F"/>
    <w:rsid w:val="3AF86E26"/>
    <w:rsid w:val="3B0C079F"/>
    <w:rsid w:val="3B0E4884"/>
    <w:rsid w:val="3B156FEB"/>
    <w:rsid w:val="3B295232"/>
    <w:rsid w:val="3B3911ED"/>
    <w:rsid w:val="3B4B164C"/>
    <w:rsid w:val="3B500A40"/>
    <w:rsid w:val="3B527185"/>
    <w:rsid w:val="3B6552F8"/>
    <w:rsid w:val="3B752487"/>
    <w:rsid w:val="3B7B1805"/>
    <w:rsid w:val="3B7C418B"/>
    <w:rsid w:val="3B8406BA"/>
    <w:rsid w:val="3B854432"/>
    <w:rsid w:val="3B971F62"/>
    <w:rsid w:val="3B9D5C20"/>
    <w:rsid w:val="3BA64AD4"/>
    <w:rsid w:val="3BAC7C11"/>
    <w:rsid w:val="3BB15227"/>
    <w:rsid w:val="3BC47D74"/>
    <w:rsid w:val="3BCD02B3"/>
    <w:rsid w:val="3BD27192"/>
    <w:rsid w:val="3BDA7B50"/>
    <w:rsid w:val="3BDC04F6"/>
    <w:rsid w:val="3BE21884"/>
    <w:rsid w:val="3C0352EF"/>
    <w:rsid w:val="3C091F84"/>
    <w:rsid w:val="3C096E11"/>
    <w:rsid w:val="3C1063F2"/>
    <w:rsid w:val="3C177780"/>
    <w:rsid w:val="3C1844E4"/>
    <w:rsid w:val="3C1B5371"/>
    <w:rsid w:val="3C300842"/>
    <w:rsid w:val="3C3245BA"/>
    <w:rsid w:val="3C350128"/>
    <w:rsid w:val="3C4165AB"/>
    <w:rsid w:val="3C681DB0"/>
    <w:rsid w:val="3C6978B0"/>
    <w:rsid w:val="3C6E4774"/>
    <w:rsid w:val="3C74072E"/>
    <w:rsid w:val="3C7A77CB"/>
    <w:rsid w:val="3C7C75E3"/>
    <w:rsid w:val="3CCF005B"/>
    <w:rsid w:val="3CD15B81"/>
    <w:rsid w:val="3CE533DA"/>
    <w:rsid w:val="3CEE0800"/>
    <w:rsid w:val="3CFA3A28"/>
    <w:rsid w:val="3D001FC2"/>
    <w:rsid w:val="3D033860"/>
    <w:rsid w:val="3D0A1093"/>
    <w:rsid w:val="3D0C4E0B"/>
    <w:rsid w:val="3D1A0E03"/>
    <w:rsid w:val="3D324146"/>
    <w:rsid w:val="3D3305EA"/>
    <w:rsid w:val="3D3B2FFA"/>
    <w:rsid w:val="3D4225DB"/>
    <w:rsid w:val="3D452C28"/>
    <w:rsid w:val="3D515268"/>
    <w:rsid w:val="3D5A70C5"/>
    <w:rsid w:val="3D5D7415"/>
    <w:rsid w:val="3D622C7D"/>
    <w:rsid w:val="3D6A38DF"/>
    <w:rsid w:val="3D8449A1"/>
    <w:rsid w:val="3D8F3346"/>
    <w:rsid w:val="3D915310"/>
    <w:rsid w:val="3D9155F5"/>
    <w:rsid w:val="3D9F17DB"/>
    <w:rsid w:val="3DA037A5"/>
    <w:rsid w:val="3DA05553"/>
    <w:rsid w:val="3DA33CDB"/>
    <w:rsid w:val="3DA57483"/>
    <w:rsid w:val="3DA70755"/>
    <w:rsid w:val="3DA768E2"/>
    <w:rsid w:val="3DA94408"/>
    <w:rsid w:val="3DB159B2"/>
    <w:rsid w:val="3DB27EC3"/>
    <w:rsid w:val="3DB72FC9"/>
    <w:rsid w:val="3DD764CD"/>
    <w:rsid w:val="3DD96742"/>
    <w:rsid w:val="3DDD2303"/>
    <w:rsid w:val="3DE52247"/>
    <w:rsid w:val="3DE5538B"/>
    <w:rsid w:val="3DFB7F62"/>
    <w:rsid w:val="3DFC6DEA"/>
    <w:rsid w:val="3DFF671E"/>
    <w:rsid w:val="3E0761FF"/>
    <w:rsid w:val="3E082609"/>
    <w:rsid w:val="3E09134A"/>
    <w:rsid w:val="3E0E4BB3"/>
    <w:rsid w:val="3E23240C"/>
    <w:rsid w:val="3E261EFC"/>
    <w:rsid w:val="3E2972F7"/>
    <w:rsid w:val="3E2B7513"/>
    <w:rsid w:val="3E330175"/>
    <w:rsid w:val="3E332C0B"/>
    <w:rsid w:val="3E3A43DE"/>
    <w:rsid w:val="3E3D0FF4"/>
    <w:rsid w:val="3E4660FB"/>
    <w:rsid w:val="3E530817"/>
    <w:rsid w:val="3E665FCA"/>
    <w:rsid w:val="3E6A003B"/>
    <w:rsid w:val="3E6A5F27"/>
    <w:rsid w:val="3E6D3687"/>
    <w:rsid w:val="3E703502"/>
    <w:rsid w:val="3E774506"/>
    <w:rsid w:val="3E79027E"/>
    <w:rsid w:val="3E7E3AE6"/>
    <w:rsid w:val="3E834C59"/>
    <w:rsid w:val="3E846C23"/>
    <w:rsid w:val="3E8B7FB1"/>
    <w:rsid w:val="3E8F1850"/>
    <w:rsid w:val="3E98003B"/>
    <w:rsid w:val="3EB06DB0"/>
    <w:rsid w:val="3EB5502E"/>
    <w:rsid w:val="3EB66D03"/>
    <w:rsid w:val="3EC3774B"/>
    <w:rsid w:val="3EC82F11"/>
    <w:rsid w:val="3ECB4852"/>
    <w:rsid w:val="3ECF60F0"/>
    <w:rsid w:val="3ED01E68"/>
    <w:rsid w:val="3ED23696"/>
    <w:rsid w:val="3ED23E32"/>
    <w:rsid w:val="3EE15E23"/>
    <w:rsid w:val="3EF26282"/>
    <w:rsid w:val="3EFE69D5"/>
    <w:rsid w:val="3F011C8B"/>
    <w:rsid w:val="3F0A537A"/>
    <w:rsid w:val="3F125D0C"/>
    <w:rsid w:val="3F214472"/>
    <w:rsid w:val="3F21764F"/>
    <w:rsid w:val="3F36616F"/>
    <w:rsid w:val="3F3E5024"/>
    <w:rsid w:val="3F421D64"/>
    <w:rsid w:val="3F5D36FC"/>
    <w:rsid w:val="3F67457A"/>
    <w:rsid w:val="3F6E5B34"/>
    <w:rsid w:val="3F731171"/>
    <w:rsid w:val="3F7C3208"/>
    <w:rsid w:val="3F8428B9"/>
    <w:rsid w:val="3F850F8C"/>
    <w:rsid w:val="3F984734"/>
    <w:rsid w:val="3F9A5C00"/>
    <w:rsid w:val="3FA23805"/>
    <w:rsid w:val="3FAD3644"/>
    <w:rsid w:val="3FAF7CCF"/>
    <w:rsid w:val="3FC7326B"/>
    <w:rsid w:val="3FCB6525"/>
    <w:rsid w:val="3FD15E98"/>
    <w:rsid w:val="3FD55988"/>
    <w:rsid w:val="3FD87226"/>
    <w:rsid w:val="3FDA11F0"/>
    <w:rsid w:val="3FDA4D4C"/>
    <w:rsid w:val="3FE060DB"/>
    <w:rsid w:val="3FE1025A"/>
    <w:rsid w:val="3FE12556"/>
    <w:rsid w:val="3FEC0F24"/>
    <w:rsid w:val="3FEE6A4A"/>
    <w:rsid w:val="3FF1653A"/>
    <w:rsid w:val="3FF51B86"/>
    <w:rsid w:val="3FF676AC"/>
    <w:rsid w:val="3FFC1167"/>
    <w:rsid w:val="3FFD6C8D"/>
    <w:rsid w:val="3FFF0C57"/>
    <w:rsid w:val="4004001B"/>
    <w:rsid w:val="400826FE"/>
    <w:rsid w:val="40093884"/>
    <w:rsid w:val="400973E0"/>
    <w:rsid w:val="400B75FC"/>
    <w:rsid w:val="401069C0"/>
    <w:rsid w:val="4012098A"/>
    <w:rsid w:val="4013025E"/>
    <w:rsid w:val="401D3C55"/>
    <w:rsid w:val="401F6CDA"/>
    <w:rsid w:val="40274478"/>
    <w:rsid w:val="402828F4"/>
    <w:rsid w:val="402C4A21"/>
    <w:rsid w:val="40363F4D"/>
    <w:rsid w:val="403F2E01"/>
    <w:rsid w:val="404C3770"/>
    <w:rsid w:val="40503261"/>
    <w:rsid w:val="4053079A"/>
    <w:rsid w:val="40694322"/>
    <w:rsid w:val="406A323D"/>
    <w:rsid w:val="406B1E48"/>
    <w:rsid w:val="40736F4F"/>
    <w:rsid w:val="40866C82"/>
    <w:rsid w:val="40890521"/>
    <w:rsid w:val="408A7FB2"/>
    <w:rsid w:val="408B6A14"/>
    <w:rsid w:val="408D0011"/>
    <w:rsid w:val="40994C08"/>
    <w:rsid w:val="40A9471F"/>
    <w:rsid w:val="40AC3037"/>
    <w:rsid w:val="40B51316"/>
    <w:rsid w:val="40CD00DD"/>
    <w:rsid w:val="40CF582B"/>
    <w:rsid w:val="40DA589D"/>
    <w:rsid w:val="40DE1EB1"/>
    <w:rsid w:val="40E63BC5"/>
    <w:rsid w:val="40E67721"/>
    <w:rsid w:val="40EB2505"/>
    <w:rsid w:val="40F13A04"/>
    <w:rsid w:val="40F36398"/>
    <w:rsid w:val="40F640FD"/>
    <w:rsid w:val="41032081"/>
    <w:rsid w:val="411249BA"/>
    <w:rsid w:val="41160006"/>
    <w:rsid w:val="411E6EBB"/>
    <w:rsid w:val="412344D1"/>
    <w:rsid w:val="412D5350"/>
    <w:rsid w:val="41312378"/>
    <w:rsid w:val="41350FB3"/>
    <w:rsid w:val="41354204"/>
    <w:rsid w:val="414032D5"/>
    <w:rsid w:val="41540B2E"/>
    <w:rsid w:val="41566655"/>
    <w:rsid w:val="415D5AA1"/>
    <w:rsid w:val="41684A1D"/>
    <w:rsid w:val="416A0352"/>
    <w:rsid w:val="417706F9"/>
    <w:rsid w:val="41874A60"/>
    <w:rsid w:val="418E3CB3"/>
    <w:rsid w:val="41987F19"/>
    <w:rsid w:val="41A5138A"/>
    <w:rsid w:val="41A6036A"/>
    <w:rsid w:val="41A82C28"/>
    <w:rsid w:val="41AA074E"/>
    <w:rsid w:val="41B04619"/>
    <w:rsid w:val="41B676E4"/>
    <w:rsid w:val="41C71300"/>
    <w:rsid w:val="41CA3118"/>
    <w:rsid w:val="41CE08E1"/>
    <w:rsid w:val="41D028CD"/>
    <w:rsid w:val="41D37CA5"/>
    <w:rsid w:val="41E023C2"/>
    <w:rsid w:val="41EA3241"/>
    <w:rsid w:val="420460B1"/>
    <w:rsid w:val="420A47EF"/>
    <w:rsid w:val="420C4C5B"/>
    <w:rsid w:val="421C291B"/>
    <w:rsid w:val="422C3774"/>
    <w:rsid w:val="422E75D1"/>
    <w:rsid w:val="423677E5"/>
    <w:rsid w:val="424B7322"/>
    <w:rsid w:val="424C7A58"/>
    <w:rsid w:val="424E1A22"/>
    <w:rsid w:val="425D2B23"/>
    <w:rsid w:val="426B25D4"/>
    <w:rsid w:val="42754064"/>
    <w:rsid w:val="42802547"/>
    <w:rsid w:val="429F385C"/>
    <w:rsid w:val="42A15FF5"/>
    <w:rsid w:val="42A41642"/>
    <w:rsid w:val="42B37AD7"/>
    <w:rsid w:val="42B86E9B"/>
    <w:rsid w:val="42BF022A"/>
    <w:rsid w:val="42C35F6C"/>
    <w:rsid w:val="42C41CE4"/>
    <w:rsid w:val="42CB3072"/>
    <w:rsid w:val="42D00689"/>
    <w:rsid w:val="42D14E77"/>
    <w:rsid w:val="42D703A8"/>
    <w:rsid w:val="42DF6B1E"/>
    <w:rsid w:val="42E3216A"/>
    <w:rsid w:val="42EC14D1"/>
    <w:rsid w:val="42F21643"/>
    <w:rsid w:val="42F62B8D"/>
    <w:rsid w:val="4315253F"/>
    <w:rsid w:val="43210EE4"/>
    <w:rsid w:val="43340C18"/>
    <w:rsid w:val="433429C6"/>
    <w:rsid w:val="4339622E"/>
    <w:rsid w:val="43471DDC"/>
    <w:rsid w:val="434A043B"/>
    <w:rsid w:val="434F77FF"/>
    <w:rsid w:val="435078B1"/>
    <w:rsid w:val="4352109E"/>
    <w:rsid w:val="436037BB"/>
    <w:rsid w:val="436A420E"/>
    <w:rsid w:val="436C03B1"/>
    <w:rsid w:val="43714522"/>
    <w:rsid w:val="43827FB8"/>
    <w:rsid w:val="4396542E"/>
    <w:rsid w:val="439711A6"/>
    <w:rsid w:val="43975899"/>
    <w:rsid w:val="43A01E09"/>
    <w:rsid w:val="43A966D6"/>
    <w:rsid w:val="43B6162D"/>
    <w:rsid w:val="43B65AD0"/>
    <w:rsid w:val="43D45F4C"/>
    <w:rsid w:val="43D63A7D"/>
    <w:rsid w:val="43DB5537"/>
    <w:rsid w:val="43E51F12"/>
    <w:rsid w:val="43EC7BBD"/>
    <w:rsid w:val="43EF0FE2"/>
    <w:rsid w:val="43FC2BA1"/>
    <w:rsid w:val="43FE2FD4"/>
    <w:rsid w:val="44093E52"/>
    <w:rsid w:val="44094EBE"/>
    <w:rsid w:val="44117EA6"/>
    <w:rsid w:val="44124CF1"/>
    <w:rsid w:val="44185E43"/>
    <w:rsid w:val="441D35F7"/>
    <w:rsid w:val="4426495C"/>
    <w:rsid w:val="44366C11"/>
    <w:rsid w:val="443D3AFC"/>
    <w:rsid w:val="443F68DF"/>
    <w:rsid w:val="44421112"/>
    <w:rsid w:val="4443784A"/>
    <w:rsid w:val="444A1499"/>
    <w:rsid w:val="445175A7"/>
    <w:rsid w:val="445350CD"/>
    <w:rsid w:val="446749DF"/>
    <w:rsid w:val="447C0AC8"/>
    <w:rsid w:val="447C69D7"/>
    <w:rsid w:val="44861189"/>
    <w:rsid w:val="4497746C"/>
    <w:rsid w:val="44AA54E4"/>
    <w:rsid w:val="44AE67A8"/>
    <w:rsid w:val="44BC0EC5"/>
    <w:rsid w:val="44C24001"/>
    <w:rsid w:val="44C45FCB"/>
    <w:rsid w:val="44C63AF1"/>
    <w:rsid w:val="44C71617"/>
    <w:rsid w:val="44C94B1B"/>
    <w:rsid w:val="44D77AAC"/>
    <w:rsid w:val="44DE708D"/>
    <w:rsid w:val="44F248E6"/>
    <w:rsid w:val="44F7014F"/>
    <w:rsid w:val="44FA379B"/>
    <w:rsid w:val="45097E82"/>
    <w:rsid w:val="450C4F8D"/>
    <w:rsid w:val="45107462"/>
    <w:rsid w:val="451F1453"/>
    <w:rsid w:val="45252F0E"/>
    <w:rsid w:val="452A22D2"/>
    <w:rsid w:val="452D2B02"/>
    <w:rsid w:val="453412EC"/>
    <w:rsid w:val="45356EC9"/>
    <w:rsid w:val="453E5D7D"/>
    <w:rsid w:val="4541761C"/>
    <w:rsid w:val="45486F70"/>
    <w:rsid w:val="455305D6"/>
    <w:rsid w:val="456000A3"/>
    <w:rsid w:val="457C2402"/>
    <w:rsid w:val="45833790"/>
    <w:rsid w:val="458614D2"/>
    <w:rsid w:val="459210C7"/>
    <w:rsid w:val="4594236E"/>
    <w:rsid w:val="459C67BD"/>
    <w:rsid w:val="459C7567"/>
    <w:rsid w:val="45A71A34"/>
    <w:rsid w:val="45A73FAA"/>
    <w:rsid w:val="45AA0B07"/>
    <w:rsid w:val="45AC0F39"/>
    <w:rsid w:val="45B04293"/>
    <w:rsid w:val="45B527CD"/>
    <w:rsid w:val="45BD3146"/>
    <w:rsid w:val="45C85D9B"/>
    <w:rsid w:val="45CC5137"/>
    <w:rsid w:val="45CD7101"/>
    <w:rsid w:val="45D940C6"/>
    <w:rsid w:val="45DC10F2"/>
    <w:rsid w:val="45E76415"/>
    <w:rsid w:val="45F44CA7"/>
    <w:rsid w:val="460348D1"/>
    <w:rsid w:val="4607616F"/>
    <w:rsid w:val="46081EE8"/>
    <w:rsid w:val="460A2104"/>
    <w:rsid w:val="460F14C8"/>
    <w:rsid w:val="46144D30"/>
    <w:rsid w:val="4618600D"/>
    <w:rsid w:val="46313D8D"/>
    <w:rsid w:val="46326F64"/>
    <w:rsid w:val="46352F82"/>
    <w:rsid w:val="4635721D"/>
    <w:rsid w:val="46396545"/>
    <w:rsid w:val="463F3C9A"/>
    <w:rsid w:val="464B42E2"/>
    <w:rsid w:val="464C01D4"/>
    <w:rsid w:val="46513995"/>
    <w:rsid w:val="465B56CC"/>
    <w:rsid w:val="46647A66"/>
    <w:rsid w:val="466510E8"/>
    <w:rsid w:val="466730B2"/>
    <w:rsid w:val="467C4DAF"/>
    <w:rsid w:val="468159CD"/>
    <w:rsid w:val="468E4AE3"/>
    <w:rsid w:val="46962C21"/>
    <w:rsid w:val="46963997"/>
    <w:rsid w:val="46975846"/>
    <w:rsid w:val="469D4D26"/>
    <w:rsid w:val="46A72415"/>
    <w:rsid w:val="46A85D30"/>
    <w:rsid w:val="46B0716A"/>
    <w:rsid w:val="46B1081D"/>
    <w:rsid w:val="46B207D1"/>
    <w:rsid w:val="46BA0199"/>
    <w:rsid w:val="46BA58D8"/>
    <w:rsid w:val="46DC3AA0"/>
    <w:rsid w:val="46DD15C6"/>
    <w:rsid w:val="46DD4AFD"/>
    <w:rsid w:val="46DE4824"/>
    <w:rsid w:val="46DF70EC"/>
    <w:rsid w:val="46E0008F"/>
    <w:rsid w:val="46EE10DD"/>
    <w:rsid w:val="46F20B12"/>
    <w:rsid w:val="46F34946"/>
    <w:rsid w:val="46F5246C"/>
    <w:rsid w:val="46F801AE"/>
    <w:rsid w:val="47024B89"/>
    <w:rsid w:val="470B4500"/>
    <w:rsid w:val="470D1EAB"/>
    <w:rsid w:val="47290367"/>
    <w:rsid w:val="474156B1"/>
    <w:rsid w:val="47466FB1"/>
    <w:rsid w:val="4751076A"/>
    <w:rsid w:val="47573126"/>
    <w:rsid w:val="475A6773"/>
    <w:rsid w:val="475C24EB"/>
    <w:rsid w:val="475D7F8B"/>
    <w:rsid w:val="476A598A"/>
    <w:rsid w:val="476D19DC"/>
    <w:rsid w:val="477535AD"/>
    <w:rsid w:val="47767A51"/>
    <w:rsid w:val="477C2C81"/>
    <w:rsid w:val="477C493B"/>
    <w:rsid w:val="4799729B"/>
    <w:rsid w:val="479C6D8B"/>
    <w:rsid w:val="479E2B03"/>
    <w:rsid w:val="47A125F4"/>
    <w:rsid w:val="47A515C1"/>
    <w:rsid w:val="47AB6FCE"/>
    <w:rsid w:val="47AC3472"/>
    <w:rsid w:val="47B16CDB"/>
    <w:rsid w:val="47B2035D"/>
    <w:rsid w:val="47B71E17"/>
    <w:rsid w:val="47B73BC5"/>
    <w:rsid w:val="47DF2D69"/>
    <w:rsid w:val="47E405E1"/>
    <w:rsid w:val="47EF7803"/>
    <w:rsid w:val="47F15329"/>
    <w:rsid w:val="47F60B91"/>
    <w:rsid w:val="47F91103"/>
    <w:rsid w:val="48034136"/>
    <w:rsid w:val="48084421"/>
    <w:rsid w:val="480A63EB"/>
    <w:rsid w:val="480F1EC9"/>
    <w:rsid w:val="480F3A01"/>
    <w:rsid w:val="480F5247"/>
    <w:rsid w:val="481D32AF"/>
    <w:rsid w:val="481D7ECC"/>
    <w:rsid w:val="48345216"/>
    <w:rsid w:val="48345DF6"/>
    <w:rsid w:val="483B2A48"/>
    <w:rsid w:val="483C476C"/>
    <w:rsid w:val="4840005F"/>
    <w:rsid w:val="48401E0D"/>
    <w:rsid w:val="484216E1"/>
    <w:rsid w:val="484336AB"/>
    <w:rsid w:val="484A2512"/>
    <w:rsid w:val="484F02A2"/>
    <w:rsid w:val="484F08C5"/>
    <w:rsid w:val="485F6737"/>
    <w:rsid w:val="48623538"/>
    <w:rsid w:val="486C0E54"/>
    <w:rsid w:val="486D24D6"/>
    <w:rsid w:val="487B1097"/>
    <w:rsid w:val="48895562"/>
    <w:rsid w:val="4895172D"/>
    <w:rsid w:val="48961A2D"/>
    <w:rsid w:val="489D2DBB"/>
    <w:rsid w:val="48C01937"/>
    <w:rsid w:val="48CE566A"/>
    <w:rsid w:val="48D013E2"/>
    <w:rsid w:val="48D04F3E"/>
    <w:rsid w:val="48D16F09"/>
    <w:rsid w:val="48D174AD"/>
    <w:rsid w:val="48D569F9"/>
    <w:rsid w:val="48E07144"/>
    <w:rsid w:val="48E72288"/>
    <w:rsid w:val="48E7672C"/>
    <w:rsid w:val="48E94252"/>
    <w:rsid w:val="48F0204A"/>
    <w:rsid w:val="48F36E7F"/>
    <w:rsid w:val="4907292A"/>
    <w:rsid w:val="49113EBA"/>
    <w:rsid w:val="491A440C"/>
    <w:rsid w:val="491A617D"/>
    <w:rsid w:val="49267254"/>
    <w:rsid w:val="49284F02"/>
    <w:rsid w:val="49290AF3"/>
    <w:rsid w:val="492E7EB7"/>
    <w:rsid w:val="4933371F"/>
    <w:rsid w:val="493600BB"/>
    <w:rsid w:val="49382AE4"/>
    <w:rsid w:val="493A685C"/>
    <w:rsid w:val="4944592C"/>
    <w:rsid w:val="49475664"/>
    <w:rsid w:val="49496A9F"/>
    <w:rsid w:val="494B6CBB"/>
    <w:rsid w:val="494D47E1"/>
    <w:rsid w:val="495518E8"/>
    <w:rsid w:val="49663AF5"/>
    <w:rsid w:val="49691876"/>
    <w:rsid w:val="497955D6"/>
    <w:rsid w:val="497F0713"/>
    <w:rsid w:val="499046CE"/>
    <w:rsid w:val="49951CE4"/>
    <w:rsid w:val="499526A9"/>
    <w:rsid w:val="49A466F3"/>
    <w:rsid w:val="49C002CF"/>
    <w:rsid w:val="49C01457"/>
    <w:rsid w:val="49CB1BAA"/>
    <w:rsid w:val="49CE4FB4"/>
    <w:rsid w:val="49D7777D"/>
    <w:rsid w:val="49E36EF3"/>
    <w:rsid w:val="49E862B8"/>
    <w:rsid w:val="49EC6C71"/>
    <w:rsid w:val="49ED38CE"/>
    <w:rsid w:val="4A02381D"/>
    <w:rsid w:val="4A023CFE"/>
    <w:rsid w:val="4A056E6A"/>
    <w:rsid w:val="4A1022B2"/>
    <w:rsid w:val="4A11580F"/>
    <w:rsid w:val="4A121587"/>
    <w:rsid w:val="4A161077"/>
    <w:rsid w:val="4A1946C3"/>
    <w:rsid w:val="4A1B48DF"/>
    <w:rsid w:val="4A276214"/>
    <w:rsid w:val="4A314103"/>
    <w:rsid w:val="4A370FED"/>
    <w:rsid w:val="4A372D9B"/>
    <w:rsid w:val="4A3F40DE"/>
    <w:rsid w:val="4A4554B8"/>
    <w:rsid w:val="4A477482"/>
    <w:rsid w:val="4A4E36E4"/>
    <w:rsid w:val="4A4F62B5"/>
    <w:rsid w:val="4A500AA8"/>
    <w:rsid w:val="4A5334F5"/>
    <w:rsid w:val="4A5E47CC"/>
    <w:rsid w:val="4A626222"/>
    <w:rsid w:val="4A684899"/>
    <w:rsid w:val="4A6F2535"/>
    <w:rsid w:val="4A761B16"/>
    <w:rsid w:val="4A7A262F"/>
    <w:rsid w:val="4A833A63"/>
    <w:rsid w:val="4A834537"/>
    <w:rsid w:val="4A835FE1"/>
    <w:rsid w:val="4A861027"/>
    <w:rsid w:val="4A91694F"/>
    <w:rsid w:val="4A987CDE"/>
    <w:rsid w:val="4AAE12AF"/>
    <w:rsid w:val="4AB368C6"/>
    <w:rsid w:val="4ABD14F2"/>
    <w:rsid w:val="4AC26B09"/>
    <w:rsid w:val="4AC33668"/>
    <w:rsid w:val="4AC5484B"/>
    <w:rsid w:val="4ADB7BCB"/>
    <w:rsid w:val="4ADD7195"/>
    <w:rsid w:val="4AE03433"/>
    <w:rsid w:val="4AE66C9B"/>
    <w:rsid w:val="4AF018C8"/>
    <w:rsid w:val="4AFD2237"/>
    <w:rsid w:val="4B094738"/>
    <w:rsid w:val="4B0C5FAB"/>
    <w:rsid w:val="4B0F0A14"/>
    <w:rsid w:val="4B0F0DC5"/>
    <w:rsid w:val="4B117A90"/>
    <w:rsid w:val="4B1B7C34"/>
    <w:rsid w:val="4B1F03FF"/>
    <w:rsid w:val="4B20466E"/>
    <w:rsid w:val="4B217CD3"/>
    <w:rsid w:val="4B297BCD"/>
    <w:rsid w:val="4B3466E2"/>
    <w:rsid w:val="4B410375"/>
    <w:rsid w:val="4B412124"/>
    <w:rsid w:val="4B413ED2"/>
    <w:rsid w:val="4B4439C2"/>
    <w:rsid w:val="4B4E4840"/>
    <w:rsid w:val="4B5A4F93"/>
    <w:rsid w:val="4B5A53AE"/>
    <w:rsid w:val="4B610403"/>
    <w:rsid w:val="4B646826"/>
    <w:rsid w:val="4B751DCD"/>
    <w:rsid w:val="4B9407BB"/>
    <w:rsid w:val="4B95338C"/>
    <w:rsid w:val="4B95421D"/>
    <w:rsid w:val="4B9761E7"/>
    <w:rsid w:val="4B9A5CD8"/>
    <w:rsid w:val="4BA426B2"/>
    <w:rsid w:val="4BB76F82"/>
    <w:rsid w:val="4BBF129A"/>
    <w:rsid w:val="4BCF5981"/>
    <w:rsid w:val="4BD24CD1"/>
    <w:rsid w:val="4BDC1E4C"/>
    <w:rsid w:val="4BE33BAD"/>
    <w:rsid w:val="4BE551A5"/>
    <w:rsid w:val="4BEB02E1"/>
    <w:rsid w:val="4BEB6533"/>
    <w:rsid w:val="4BF1575B"/>
    <w:rsid w:val="4BF46FC4"/>
    <w:rsid w:val="4C0513A3"/>
    <w:rsid w:val="4C0A4C0B"/>
    <w:rsid w:val="4C0F6B4D"/>
    <w:rsid w:val="4C1635B0"/>
    <w:rsid w:val="4C1D1E3A"/>
    <w:rsid w:val="4C20442F"/>
    <w:rsid w:val="4C213D03"/>
    <w:rsid w:val="4C285091"/>
    <w:rsid w:val="4C2B6930"/>
    <w:rsid w:val="4C2D4456"/>
    <w:rsid w:val="4C3E48B5"/>
    <w:rsid w:val="4C3F7C92"/>
    <w:rsid w:val="4C4354ED"/>
    <w:rsid w:val="4C4A5008"/>
    <w:rsid w:val="4C4D4AF8"/>
    <w:rsid w:val="4C52210E"/>
    <w:rsid w:val="4C575977"/>
    <w:rsid w:val="4C5B7215"/>
    <w:rsid w:val="4C6D6F48"/>
    <w:rsid w:val="4C786019"/>
    <w:rsid w:val="4C7D53DD"/>
    <w:rsid w:val="4C7F3518"/>
    <w:rsid w:val="4C821E99"/>
    <w:rsid w:val="4C891FD4"/>
    <w:rsid w:val="4C8C73CE"/>
    <w:rsid w:val="4C8D3147"/>
    <w:rsid w:val="4C921EC8"/>
    <w:rsid w:val="4C96024D"/>
    <w:rsid w:val="4C9604BD"/>
    <w:rsid w:val="4CA3296A"/>
    <w:rsid w:val="4CAA3CF8"/>
    <w:rsid w:val="4CAD0BB5"/>
    <w:rsid w:val="4CAE1A3B"/>
    <w:rsid w:val="4CBD57DA"/>
    <w:rsid w:val="4CC6456C"/>
    <w:rsid w:val="4CCA7EF7"/>
    <w:rsid w:val="4CD3324F"/>
    <w:rsid w:val="4CD564D9"/>
    <w:rsid w:val="4CE4720A"/>
    <w:rsid w:val="4CEA0599"/>
    <w:rsid w:val="4CEA3967"/>
    <w:rsid w:val="4CF5766A"/>
    <w:rsid w:val="4CF82CB6"/>
    <w:rsid w:val="4CFD02CC"/>
    <w:rsid w:val="4D0A29E9"/>
    <w:rsid w:val="4D0F7FFF"/>
    <w:rsid w:val="4D137AF0"/>
    <w:rsid w:val="4D184151"/>
    <w:rsid w:val="4D2015B6"/>
    <w:rsid w:val="4D223768"/>
    <w:rsid w:val="4D2572A9"/>
    <w:rsid w:val="4D2770F7"/>
    <w:rsid w:val="4D341814"/>
    <w:rsid w:val="4D35333C"/>
    <w:rsid w:val="4D3A5CC6"/>
    <w:rsid w:val="4D3F08E5"/>
    <w:rsid w:val="4D3F6B37"/>
    <w:rsid w:val="4D493F63"/>
    <w:rsid w:val="4D573E80"/>
    <w:rsid w:val="4D5A3970"/>
    <w:rsid w:val="4D6E4D26"/>
    <w:rsid w:val="4D7560B4"/>
    <w:rsid w:val="4D7A7B6F"/>
    <w:rsid w:val="4D7F0CE1"/>
    <w:rsid w:val="4D814A59"/>
    <w:rsid w:val="4D8D78A2"/>
    <w:rsid w:val="4DA150FB"/>
    <w:rsid w:val="4DB87A58"/>
    <w:rsid w:val="4DBB401D"/>
    <w:rsid w:val="4DC112FA"/>
    <w:rsid w:val="4DC757F7"/>
    <w:rsid w:val="4DC82688"/>
    <w:rsid w:val="4DC94652"/>
    <w:rsid w:val="4DCE278A"/>
    <w:rsid w:val="4DD86643"/>
    <w:rsid w:val="4DDA685F"/>
    <w:rsid w:val="4DE14C7E"/>
    <w:rsid w:val="4DE374C2"/>
    <w:rsid w:val="4DE44FE8"/>
    <w:rsid w:val="4DEF230B"/>
    <w:rsid w:val="4DF74D1B"/>
    <w:rsid w:val="4E0D453F"/>
    <w:rsid w:val="4E0E47D0"/>
    <w:rsid w:val="4E241889"/>
    <w:rsid w:val="4E273239"/>
    <w:rsid w:val="4E2B0E69"/>
    <w:rsid w:val="4E555EE6"/>
    <w:rsid w:val="4E664A3B"/>
    <w:rsid w:val="4E6F0D56"/>
    <w:rsid w:val="4E775E5C"/>
    <w:rsid w:val="4E7E543D"/>
    <w:rsid w:val="4E811C22"/>
    <w:rsid w:val="4E962786"/>
    <w:rsid w:val="4E9B5FEF"/>
    <w:rsid w:val="4E9E7AAE"/>
    <w:rsid w:val="4EA74993"/>
    <w:rsid w:val="4EAE0FA6"/>
    <w:rsid w:val="4EAF3848"/>
    <w:rsid w:val="4EB250E6"/>
    <w:rsid w:val="4EB5269E"/>
    <w:rsid w:val="4EC07803"/>
    <w:rsid w:val="4EC15544"/>
    <w:rsid w:val="4EC52CE6"/>
    <w:rsid w:val="4EC5306C"/>
    <w:rsid w:val="4ED212E5"/>
    <w:rsid w:val="4EE3445A"/>
    <w:rsid w:val="4EE74D90"/>
    <w:rsid w:val="4EE80B08"/>
    <w:rsid w:val="4EED7AC8"/>
    <w:rsid w:val="4EF179BD"/>
    <w:rsid w:val="4EF23735"/>
    <w:rsid w:val="4EF37BD9"/>
    <w:rsid w:val="4EF64C18"/>
    <w:rsid w:val="4EFB4CDF"/>
    <w:rsid w:val="4F0040A4"/>
    <w:rsid w:val="4F022943"/>
    <w:rsid w:val="4F092623"/>
    <w:rsid w:val="4F195165"/>
    <w:rsid w:val="4F204746"/>
    <w:rsid w:val="4F2204BE"/>
    <w:rsid w:val="4F42290E"/>
    <w:rsid w:val="4F493C9D"/>
    <w:rsid w:val="4F4B6440"/>
    <w:rsid w:val="4F5D14F6"/>
    <w:rsid w:val="4F6208BA"/>
    <w:rsid w:val="4F6247EF"/>
    <w:rsid w:val="4F6C798B"/>
    <w:rsid w:val="4F6E2569"/>
    <w:rsid w:val="4F766114"/>
    <w:rsid w:val="4F8650CD"/>
    <w:rsid w:val="4F876573"/>
    <w:rsid w:val="4F9A1F44"/>
    <w:rsid w:val="4FA40ED3"/>
    <w:rsid w:val="4FA964E9"/>
    <w:rsid w:val="4FAC4FC2"/>
    <w:rsid w:val="4FAD6D95"/>
    <w:rsid w:val="4FB32C07"/>
    <w:rsid w:val="4FB355BA"/>
    <w:rsid w:val="4FB37368"/>
    <w:rsid w:val="4FBB0205"/>
    <w:rsid w:val="4FBF7ABB"/>
    <w:rsid w:val="4FC82B2E"/>
    <w:rsid w:val="4FCB2904"/>
    <w:rsid w:val="4FCD0FA5"/>
    <w:rsid w:val="4FD55530"/>
    <w:rsid w:val="4FDF63AF"/>
    <w:rsid w:val="4FE13ED5"/>
    <w:rsid w:val="4FE17A31"/>
    <w:rsid w:val="4FE37C4D"/>
    <w:rsid w:val="4FE85264"/>
    <w:rsid w:val="4FE87012"/>
    <w:rsid w:val="4FEC700F"/>
    <w:rsid w:val="4FFE63A3"/>
    <w:rsid w:val="4FFF6109"/>
    <w:rsid w:val="500C7C4F"/>
    <w:rsid w:val="50111B7F"/>
    <w:rsid w:val="501716A5"/>
    <w:rsid w:val="50194123"/>
    <w:rsid w:val="5032028D"/>
    <w:rsid w:val="50373AF5"/>
    <w:rsid w:val="503A35E5"/>
    <w:rsid w:val="503E6C32"/>
    <w:rsid w:val="5043693E"/>
    <w:rsid w:val="50487AB0"/>
    <w:rsid w:val="504A1396"/>
    <w:rsid w:val="504E09F4"/>
    <w:rsid w:val="50526B81"/>
    <w:rsid w:val="50546455"/>
    <w:rsid w:val="5057096E"/>
    <w:rsid w:val="505809BB"/>
    <w:rsid w:val="506863A4"/>
    <w:rsid w:val="50730BF2"/>
    <w:rsid w:val="508221DC"/>
    <w:rsid w:val="50830AE8"/>
    <w:rsid w:val="50852AB2"/>
    <w:rsid w:val="50874A7C"/>
    <w:rsid w:val="508D1967"/>
    <w:rsid w:val="50901457"/>
    <w:rsid w:val="509947B0"/>
    <w:rsid w:val="50AC6291"/>
    <w:rsid w:val="50B315D9"/>
    <w:rsid w:val="50B341F7"/>
    <w:rsid w:val="50B377D1"/>
    <w:rsid w:val="50BB1603"/>
    <w:rsid w:val="50BB2978"/>
    <w:rsid w:val="50C35389"/>
    <w:rsid w:val="50C431DE"/>
    <w:rsid w:val="50C51C1F"/>
    <w:rsid w:val="50CA6717"/>
    <w:rsid w:val="50CF01D2"/>
    <w:rsid w:val="50E30143"/>
    <w:rsid w:val="50E81293"/>
    <w:rsid w:val="50E84DEF"/>
    <w:rsid w:val="50F419E6"/>
    <w:rsid w:val="50F639B0"/>
    <w:rsid w:val="50F814D6"/>
    <w:rsid w:val="50F934A0"/>
    <w:rsid w:val="50FC1DF9"/>
    <w:rsid w:val="510734C7"/>
    <w:rsid w:val="5107796B"/>
    <w:rsid w:val="510A120A"/>
    <w:rsid w:val="510D474B"/>
    <w:rsid w:val="51145BE4"/>
    <w:rsid w:val="511E02A1"/>
    <w:rsid w:val="511E7FC1"/>
    <w:rsid w:val="51204589"/>
    <w:rsid w:val="5125610B"/>
    <w:rsid w:val="512F2A1E"/>
    <w:rsid w:val="514364CA"/>
    <w:rsid w:val="5147420C"/>
    <w:rsid w:val="51497F84"/>
    <w:rsid w:val="514A4A8B"/>
    <w:rsid w:val="51597A9B"/>
    <w:rsid w:val="5176689F"/>
    <w:rsid w:val="517843C5"/>
    <w:rsid w:val="51796AEB"/>
    <w:rsid w:val="51846812"/>
    <w:rsid w:val="5184720E"/>
    <w:rsid w:val="518A40F8"/>
    <w:rsid w:val="51905BB3"/>
    <w:rsid w:val="51962A9D"/>
    <w:rsid w:val="51A27694"/>
    <w:rsid w:val="51A3555F"/>
    <w:rsid w:val="51A52CE0"/>
    <w:rsid w:val="51AF590D"/>
    <w:rsid w:val="51B55619"/>
    <w:rsid w:val="51BA4335"/>
    <w:rsid w:val="51BA678C"/>
    <w:rsid w:val="51CB2747"/>
    <w:rsid w:val="51CC4711"/>
    <w:rsid w:val="51D6733E"/>
    <w:rsid w:val="51DA5080"/>
    <w:rsid w:val="51DF2696"/>
    <w:rsid w:val="51E657D3"/>
    <w:rsid w:val="51E732F9"/>
    <w:rsid w:val="51E831E0"/>
    <w:rsid w:val="51F24178"/>
    <w:rsid w:val="51FB0B52"/>
    <w:rsid w:val="52065E75"/>
    <w:rsid w:val="52067C23"/>
    <w:rsid w:val="520E54FE"/>
    <w:rsid w:val="5212481A"/>
    <w:rsid w:val="52195BA8"/>
    <w:rsid w:val="521F58B5"/>
    <w:rsid w:val="52293911"/>
    <w:rsid w:val="523227C6"/>
    <w:rsid w:val="523F2203"/>
    <w:rsid w:val="52524C16"/>
    <w:rsid w:val="52624A84"/>
    <w:rsid w:val="52635075"/>
    <w:rsid w:val="526557FD"/>
    <w:rsid w:val="52691F60"/>
    <w:rsid w:val="528A0913"/>
    <w:rsid w:val="52927709"/>
    <w:rsid w:val="52AA6800"/>
    <w:rsid w:val="52AF3E17"/>
    <w:rsid w:val="52B0193D"/>
    <w:rsid w:val="52B14033"/>
    <w:rsid w:val="52B339D8"/>
    <w:rsid w:val="52CA0C50"/>
    <w:rsid w:val="52E01073"/>
    <w:rsid w:val="52E55A8A"/>
    <w:rsid w:val="52EB7B2A"/>
    <w:rsid w:val="52F726D5"/>
    <w:rsid w:val="52FD1026"/>
    <w:rsid w:val="5303022D"/>
    <w:rsid w:val="531620E8"/>
    <w:rsid w:val="53195734"/>
    <w:rsid w:val="53211D72"/>
    <w:rsid w:val="5322679F"/>
    <w:rsid w:val="53226CDE"/>
    <w:rsid w:val="53230E08"/>
    <w:rsid w:val="53280574"/>
    <w:rsid w:val="532841E8"/>
    <w:rsid w:val="533407C0"/>
    <w:rsid w:val="53346A12"/>
    <w:rsid w:val="534A3B3F"/>
    <w:rsid w:val="534F1156"/>
    <w:rsid w:val="53515832"/>
    <w:rsid w:val="53530C46"/>
    <w:rsid w:val="53590226"/>
    <w:rsid w:val="535D7D17"/>
    <w:rsid w:val="536D782E"/>
    <w:rsid w:val="537312E8"/>
    <w:rsid w:val="53774D45"/>
    <w:rsid w:val="537E1A3B"/>
    <w:rsid w:val="538C2598"/>
    <w:rsid w:val="538E1C7E"/>
    <w:rsid w:val="538F0922"/>
    <w:rsid w:val="53900CBA"/>
    <w:rsid w:val="539A15FA"/>
    <w:rsid w:val="539F398F"/>
    <w:rsid w:val="53A05E55"/>
    <w:rsid w:val="53A616BE"/>
    <w:rsid w:val="53B65679"/>
    <w:rsid w:val="53B813F1"/>
    <w:rsid w:val="53B94568"/>
    <w:rsid w:val="53BB2504"/>
    <w:rsid w:val="53D55AFF"/>
    <w:rsid w:val="53D63625"/>
    <w:rsid w:val="53D8114B"/>
    <w:rsid w:val="53D8739D"/>
    <w:rsid w:val="53DB6574"/>
    <w:rsid w:val="53E74315"/>
    <w:rsid w:val="53E81D2B"/>
    <w:rsid w:val="53FF0DCE"/>
    <w:rsid w:val="53FF3638"/>
    <w:rsid w:val="53FF78F6"/>
    <w:rsid w:val="540208BE"/>
    <w:rsid w:val="54063F0A"/>
    <w:rsid w:val="542B1BC3"/>
    <w:rsid w:val="542F4608"/>
    <w:rsid w:val="543F741C"/>
    <w:rsid w:val="54462559"/>
    <w:rsid w:val="545509EE"/>
    <w:rsid w:val="545D1960"/>
    <w:rsid w:val="545E6F34"/>
    <w:rsid w:val="547215A0"/>
    <w:rsid w:val="54751090"/>
    <w:rsid w:val="547A5F32"/>
    <w:rsid w:val="547B1C94"/>
    <w:rsid w:val="547F5A6B"/>
    <w:rsid w:val="548B2661"/>
    <w:rsid w:val="54A11E85"/>
    <w:rsid w:val="54AA0D3A"/>
    <w:rsid w:val="54AB2D04"/>
    <w:rsid w:val="54B25E40"/>
    <w:rsid w:val="54B35714"/>
    <w:rsid w:val="54B45F38"/>
    <w:rsid w:val="54B5148C"/>
    <w:rsid w:val="54BE47E5"/>
    <w:rsid w:val="54CF69F2"/>
    <w:rsid w:val="54D51B2F"/>
    <w:rsid w:val="54DC4C6B"/>
    <w:rsid w:val="54DF0475"/>
    <w:rsid w:val="54ED6E78"/>
    <w:rsid w:val="54F83FD0"/>
    <w:rsid w:val="54F93A6F"/>
    <w:rsid w:val="54FC355F"/>
    <w:rsid w:val="5505597D"/>
    <w:rsid w:val="5511700B"/>
    <w:rsid w:val="55216DF3"/>
    <w:rsid w:val="552D6CB3"/>
    <w:rsid w:val="55592760"/>
    <w:rsid w:val="555D4DEF"/>
    <w:rsid w:val="5560764A"/>
    <w:rsid w:val="556F788D"/>
    <w:rsid w:val="55730C6D"/>
    <w:rsid w:val="55733821"/>
    <w:rsid w:val="557650C0"/>
    <w:rsid w:val="55822151"/>
    <w:rsid w:val="559970FA"/>
    <w:rsid w:val="559A020C"/>
    <w:rsid w:val="559B0682"/>
    <w:rsid w:val="55A113E7"/>
    <w:rsid w:val="55A1776B"/>
    <w:rsid w:val="55A70956"/>
    <w:rsid w:val="55A75279"/>
    <w:rsid w:val="55AF2380"/>
    <w:rsid w:val="55B47996"/>
    <w:rsid w:val="55B61960"/>
    <w:rsid w:val="55C0458D"/>
    <w:rsid w:val="55C93441"/>
    <w:rsid w:val="55D50EB4"/>
    <w:rsid w:val="55DA564E"/>
    <w:rsid w:val="55DB3175"/>
    <w:rsid w:val="55E069DD"/>
    <w:rsid w:val="55EE4C56"/>
    <w:rsid w:val="55F06C20"/>
    <w:rsid w:val="55F54236"/>
    <w:rsid w:val="55F7553E"/>
    <w:rsid w:val="560721BC"/>
    <w:rsid w:val="560A5808"/>
    <w:rsid w:val="56191C96"/>
    <w:rsid w:val="561A3C9D"/>
    <w:rsid w:val="5627460C"/>
    <w:rsid w:val="562B75A4"/>
    <w:rsid w:val="56356D29"/>
    <w:rsid w:val="563A433F"/>
    <w:rsid w:val="563D201C"/>
    <w:rsid w:val="5641747C"/>
    <w:rsid w:val="56440D1A"/>
    <w:rsid w:val="56551179"/>
    <w:rsid w:val="565E7ED9"/>
    <w:rsid w:val="56625644"/>
    <w:rsid w:val="56666EE2"/>
    <w:rsid w:val="56694C24"/>
    <w:rsid w:val="566969D2"/>
    <w:rsid w:val="5670014B"/>
    <w:rsid w:val="56705FB3"/>
    <w:rsid w:val="567710EF"/>
    <w:rsid w:val="567A473C"/>
    <w:rsid w:val="56815828"/>
    <w:rsid w:val="56867590"/>
    <w:rsid w:val="569E667C"/>
    <w:rsid w:val="569F41A2"/>
    <w:rsid w:val="56A619D5"/>
    <w:rsid w:val="56B129E1"/>
    <w:rsid w:val="56B85264"/>
    <w:rsid w:val="56BC6B02"/>
    <w:rsid w:val="56BE0ACC"/>
    <w:rsid w:val="56C34335"/>
    <w:rsid w:val="56C37F30"/>
    <w:rsid w:val="56C500AD"/>
    <w:rsid w:val="56CF4C60"/>
    <w:rsid w:val="56D01AD6"/>
    <w:rsid w:val="56D976B4"/>
    <w:rsid w:val="56DB78D0"/>
    <w:rsid w:val="56DF6C95"/>
    <w:rsid w:val="56E16569"/>
    <w:rsid w:val="56E524FD"/>
    <w:rsid w:val="56E878F7"/>
    <w:rsid w:val="56F02C50"/>
    <w:rsid w:val="56F6276E"/>
    <w:rsid w:val="57001653"/>
    <w:rsid w:val="57007337"/>
    <w:rsid w:val="57076023"/>
    <w:rsid w:val="570C1E0C"/>
    <w:rsid w:val="571444FF"/>
    <w:rsid w:val="571B640A"/>
    <w:rsid w:val="571E5A0F"/>
    <w:rsid w:val="57216EE2"/>
    <w:rsid w:val="572440FC"/>
    <w:rsid w:val="57250B4B"/>
    <w:rsid w:val="572C012C"/>
    <w:rsid w:val="572F3778"/>
    <w:rsid w:val="57322D28"/>
    <w:rsid w:val="573C7C43"/>
    <w:rsid w:val="57455939"/>
    <w:rsid w:val="5753390A"/>
    <w:rsid w:val="57542D95"/>
    <w:rsid w:val="575B456D"/>
    <w:rsid w:val="5765363E"/>
    <w:rsid w:val="576D24F2"/>
    <w:rsid w:val="5770468E"/>
    <w:rsid w:val="577613A7"/>
    <w:rsid w:val="577949F3"/>
    <w:rsid w:val="578026CF"/>
    <w:rsid w:val="578A30A4"/>
    <w:rsid w:val="57917F8F"/>
    <w:rsid w:val="579B203A"/>
    <w:rsid w:val="57A31A8E"/>
    <w:rsid w:val="57A858DC"/>
    <w:rsid w:val="57A9177C"/>
    <w:rsid w:val="57AC4DC9"/>
    <w:rsid w:val="57CC7219"/>
    <w:rsid w:val="57CE11E3"/>
    <w:rsid w:val="57E502DB"/>
    <w:rsid w:val="57E72ADF"/>
    <w:rsid w:val="57E95EDC"/>
    <w:rsid w:val="57F9322A"/>
    <w:rsid w:val="580746F5"/>
    <w:rsid w:val="58136BF6"/>
    <w:rsid w:val="58166E66"/>
    <w:rsid w:val="581806B0"/>
    <w:rsid w:val="581A4428"/>
    <w:rsid w:val="5820671F"/>
    <w:rsid w:val="582157B7"/>
    <w:rsid w:val="5824731E"/>
    <w:rsid w:val="58274A6F"/>
    <w:rsid w:val="582C09EA"/>
    <w:rsid w:val="583D1B87"/>
    <w:rsid w:val="58417026"/>
    <w:rsid w:val="58450D79"/>
    <w:rsid w:val="586456A3"/>
    <w:rsid w:val="58647451"/>
    <w:rsid w:val="58692075"/>
    <w:rsid w:val="586937D5"/>
    <w:rsid w:val="586A515B"/>
    <w:rsid w:val="587578B0"/>
    <w:rsid w:val="588418A2"/>
    <w:rsid w:val="5884729A"/>
    <w:rsid w:val="588B70D4"/>
    <w:rsid w:val="589046EA"/>
    <w:rsid w:val="589B67A1"/>
    <w:rsid w:val="589C308F"/>
    <w:rsid w:val="58B71C77"/>
    <w:rsid w:val="58B73A25"/>
    <w:rsid w:val="58BC728D"/>
    <w:rsid w:val="58C24F41"/>
    <w:rsid w:val="58C3061C"/>
    <w:rsid w:val="58C46142"/>
    <w:rsid w:val="58C63C68"/>
    <w:rsid w:val="58C93758"/>
    <w:rsid w:val="58D37D6F"/>
    <w:rsid w:val="58D97E3F"/>
    <w:rsid w:val="58DC7406"/>
    <w:rsid w:val="58EB41AD"/>
    <w:rsid w:val="59060509"/>
    <w:rsid w:val="590852BB"/>
    <w:rsid w:val="591E3AA4"/>
    <w:rsid w:val="59246BE1"/>
    <w:rsid w:val="592A2449"/>
    <w:rsid w:val="594A6647"/>
    <w:rsid w:val="595B0854"/>
    <w:rsid w:val="59657925"/>
    <w:rsid w:val="596B1FAC"/>
    <w:rsid w:val="59762F6D"/>
    <w:rsid w:val="59796F2C"/>
    <w:rsid w:val="597A4A53"/>
    <w:rsid w:val="598002BB"/>
    <w:rsid w:val="59807C97"/>
    <w:rsid w:val="59851D75"/>
    <w:rsid w:val="59875AED"/>
    <w:rsid w:val="598868B4"/>
    <w:rsid w:val="598C3B80"/>
    <w:rsid w:val="59995821"/>
    <w:rsid w:val="599E6993"/>
    <w:rsid w:val="59A91A94"/>
    <w:rsid w:val="59B270A2"/>
    <w:rsid w:val="59B83BC5"/>
    <w:rsid w:val="59B9557B"/>
    <w:rsid w:val="59BB12F3"/>
    <w:rsid w:val="59C52172"/>
    <w:rsid w:val="59C606AB"/>
    <w:rsid w:val="59CA0CEB"/>
    <w:rsid w:val="59D979CB"/>
    <w:rsid w:val="59F40CA9"/>
    <w:rsid w:val="59F9006D"/>
    <w:rsid w:val="59FD7B5D"/>
    <w:rsid w:val="59FE5684"/>
    <w:rsid w:val="5A0621E6"/>
    <w:rsid w:val="5A0A4028"/>
    <w:rsid w:val="5A0F7891"/>
    <w:rsid w:val="5A1012A0"/>
    <w:rsid w:val="5A160C1F"/>
    <w:rsid w:val="5A2460F4"/>
    <w:rsid w:val="5A5A0B0C"/>
    <w:rsid w:val="5A625C12"/>
    <w:rsid w:val="5A6574B1"/>
    <w:rsid w:val="5A663955"/>
    <w:rsid w:val="5A762E3E"/>
    <w:rsid w:val="5A796958"/>
    <w:rsid w:val="5A7F0572"/>
    <w:rsid w:val="5A89395B"/>
    <w:rsid w:val="5A957D96"/>
    <w:rsid w:val="5A9658BC"/>
    <w:rsid w:val="5A9B2ED2"/>
    <w:rsid w:val="5AA1673B"/>
    <w:rsid w:val="5AA63D51"/>
    <w:rsid w:val="5AAB75B9"/>
    <w:rsid w:val="5AAC3332"/>
    <w:rsid w:val="5AAC50E0"/>
    <w:rsid w:val="5AC965A1"/>
    <w:rsid w:val="5ACE5056"/>
    <w:rsid w:val="5AD00DCE"/>
    <w:rsid w:val="5AD67C54"/>
    <w:rsid w:val="5AE65F83"/>
    <w:rsid w:val="5AF32D0E"/>
    <w:rsid w:val="5B0A0784"/>
    <w:rsid w:val="5B0F63BF"/>
    <w:rsid w:val="5B150ED7"/>
    <w:rsid w:val="5B1E5FDD"/>
    <w:rsid w:val="5B2053DD"/>
    <w:rsid w:val="5B21787C"/>
    <w:rsid w:val="5B294982"/>
    <w:rsid w:val="5B2D6220"/>
    <w:rsid w:val="5B2E4D4E"/>
    <w:rsid w:val="5B3255E5"/>
    <w:rsid w:val="5B32597B"/>
    <w:rsid w:val="5B341540"/>
    <w:rsid w:val="5B353327"/>
    <w:rsid w:val="5B3C492C"/>
    <w:rsid w:val="5B3E042E"/>
    <w:rsid w:val="5B465534"/>
    <w:rsid w:val="5B480E39"/>
    <w:rsid w:val="5B61236E"/>
    <w:rsid w:val="5B6559BA"/>
    <w:rsid w:val="5B672793"/>
    <w:rsid w:val="5B800F8F"/>
    <w:rsid w:val="5B863B83"/>
    <w:rsid w:val="5B977B3E"/>
    <w:rsid w:val="5B991B08"/>
    <w:rsid w:val="5BA772DD"/>
    <w:rsid w:val="5BA83AF9"/>
    <w:rsid w:val="5BBA49D8"/>
    <w:rsid w:val="5BC14BBB"/>
    <w:rsid w:val="5BC55123"/>
    <w:rsid w:val="5BCB20E0"/>
    <w:rsid w:val="5BCC37DE"/>
    <w:rsid w:val="5BD112A2"/>
    <w:rsid w:val="5BD42B40"/>
    <w:rsid w:val="5BD6009C"/>
    <w:rsid w:val="5BD82630"/>
    <w:rsid w:val="5BDB7A2A"/>
    <w:rsid w:val="5BDE39BF"/>
    <w:rsid w:val="5BE34B31"/>
    <w:rsid w:val="5BE82147"/>
    <w:rsid w:val="5BF1147F"/>
    <w:rsid w:val="5BF43990"/>
    <w:rsid w:val="5C12387B"/>
    <w:rsid w:val="5C1D2FEA"/>
    <w:rsid w:val="5C225659"/>
    <w:rsid w:val="5C290367"/>
    <w:rsid w:val="5C2A2760"/>
    <w:rsid w:val="5C302273"/>
    <w:rsid w:val="5C334DCA"/>
    <w:rsid w:val="5C433678"/>
    <w:rsid w:val="5C4952DC"/>
    <w:rsid w:val="5C4F0418"/>
    <w:rsid w:val="5C4F53E5"/>
    <w:rsid w:val="5C545A2F"/>
    <w:rsid w:val="5C5477DD"/>
    <w:rsid w:val="5C5F065B"/>
    <w:rsid w:val="5C615525"/>
    <w:rsid w:val="5C62014C"/>
    <w:rsid w:val="5C7F2AAC"/>
    <w:rsid w:val="5C891B7C"/>
    <w:rsid w:val="5C8C341B"/>
    <w:rsid w:val="5C9A1694"/>
    <w:rsid w:val="5C9B365E"/>
    <w:rsid w:val="5C9D2F32"/>
    <w:rsid w:val="5CA70254"/>
    <w:rsid w:val="5CB32755"/>
    <w:rsid w:val="5CB63FF4"/>
    <w:rsid w:val="5CC76201"/>
    <w:rsid w:val="5CCB7A9F"/>
    <w:rsid w:val="5CCC3817"/>
    <w:rsid w:val="5CCD7CBB"/>
    <w:rsid w:val="5CD62F36"/>
    <w:rsid w:val="5CDD2DE8"/>
    <w:rsid w:val="5CDD77D2"/>
    <w:rsid w:val="5CE2128D"/>
    <w:rsid w:val="5CFA4828"/>
    <w:rsid w:val="5D047455"/>
    <w:rsid w:val="5D072AA1"/>
    <w:rsid w:val="5D096819"/>
    <w:rsid w:val="5D1458EA"/>
    <w:rsid w:val="5D1C479E"/>
    <w:rsid w:val="5D213B63"/>
    <w:rsid w:val="5D3E4715"/>
    <w:rsid w:val="5D437F7D"/>
    <w:rsid w:val="5D494E68"/>
    <w:rsid w:val="5D4B0BE0"/>
    <w:rsid w:val="5D51217F"/>
    <w:rsid w:val="5D526412"/>
    <w:rsid w:val="5D600B2F"/>
    <w:rsid w:val="5D8B5480"/>
    <w:rsid w:val="5D972077"/>
    <w:rsid w:val="5D995043"/>
    <w:rsid w:val="5DA6050C"/>
    <w:rsid w:val="5DAC0CF7"/>
    <w:rsid w:val="5DAD5100"/>
    <w:rsid w:val="5DBE13B2"/>
    <w:rsid w:val="5DBF2BB6"/>
    <w:rsid w:val="5DC64141"/>
    <w:rsid w:val="5DC82230"/>
    <w:rsid w:val="5DCD14F0"/>
    <w:rsid w:val="5DD4336F"/>
    <w:rsid w:val="5DD57855"/>
    <w:rsid w:val="5DDB1F64"/>
    <w:rsid w:val="5DE07B6A"/>
    <w:rsid w:val="5DE4797B"/>
    <w:rsid w:val="5DEB5F1F"/>
    <w:rsid w:val="5E0031D5"/>
    <w:rsid w:val="5E0314BA"/>
    <w:rsid w:val="5E04725E"/>
    <w:rsid w:val="5E066149"/>
    <w:rsid w:val="5E0A546C"/>
    <w:rsid w:val="5E0C5358"/>
    <w:rsid w:val="5E113BD7"/>
    <w:rsid w:val="5E1E0651"/>
    <w:rsid w:val="5E317DD6"/>
    <w:rsid w:val="5E3873B6"/>
    <w:rsid w:val="5E3B0C54"/>
    <w:rsid w:val="5E3F48AD"/>
    <w:rsid w:val="5E437B09"/>
    <w:rsid w:val="5E4D0988"/>
    <w:rsid w:val="5E5B4E53"/>
    <w:rsid w:val="5E7117D2"/>
    <w:rsid w:val="5E7A79CF"/>
    <w:rsid w:val="5E884785"/>
    <w:rsid w:val="5E8F58C1"/>
    <w:rsid w:val="5E993BCD"/>
    <w:rsid w:val="5EA42053"/>
    <w:rsid w:val="5EB61086"/>
    <w:rsid w:val="5EBE53E1"/>
    <w:rsid w:val="5EC549C2"/>
    <w:rsid w:val="5EC7073A"/>
    <w:rsid w:val="5EC842E9"/>
    <w:rsid w:val="5ECE1AC8"/>
    <w:rsid w:val="5EE017FC"/>
    <w:rsid w:val="5EE336FA"/>
    <w:rsid w:val="5EF05EE3"/>
    <w:rsid w:val="5EF157B7"/>
    <w:rsid w:val="5EF3152F"/>
    <w:rsid w:val="5EFD415C"/>
    <w:rsid w:val="5EFD5F0A"/>
    <w:rsid w:val="5F0279C4"/>
    <w:rsid w:val="5F1020E1"/>
    <w:rsid w:val="5F173BBB"/>
    <w:rsid w:val="5F182D44"/>
    <w:rsid w:val="5F1F40D2"/>
    <w:rsid w:val="5F234DD3"/>
    <w:rsid w:val="5F28567D"/>
    <w:rsid w:val="5F351B48"/>
    <w:rsid w:val="5F36141C"/>
    <w:rsid w:val="5F3F63AD"/>
    <w:rsid w:val="5F426012"/>
    <w:rsid w:val="5F473629"/>
    <w:rsid w:val="5F5024DD"/>
    <w:rsid w:val="5F557AF4"/>
    <w:rsid w:val="5F56421A"/>
    <w:rsid w:val="5F5875E4"/>
    <w:rsid w:val="5F5F0972"/>
    <w:rsid w:val="5F7A4635"/>
    <w:rsid w:val="5F893C41"/>
    <w:rsid w:val="5F8C203D"/>
    <w:rsid w:val="5F9374B8"/>
    <w:rsid w:val="5FA8056B"/>
    <w:rsid w:val="5FA911F0"/>
    <w:rsid w:val="5FAD5B82"/>
    <w:rsid w:val="5FAD650A"/>
    <w:rsid w:val="5FAF36A8"/>
    <w:rsid w:val="5FC133DB"/>
    <w:rsid w:val="5FE07D05"/>
    <w:rsid w:val="5FE315A4"/>
    <w:rsid w:val="5FE9605B"/>
    <w:rsid w:val="5FF003B5"/>
    <w:rsid w:val="60172FFB"/>
    <w:rsid w:val="60237BF2"/>
    <w:rsid w:val="60251BBC"/>
    <w:rsid w:val="602C2F4B"/>
    <w:rsid w:val="603242D9"/>
    <w:rsid w:val="60341DFF"/>
    <w:rsid w:val="6037369D"/>
    <w:rsid w:val="60414D0B"/>
    <w:rsid w:val="6042276E"/>
    <w:rsid w:val="60477D84"/>
    <w:rsid w:val="60536729"/>
    <w:rsid w:val="6057789C"/>
    <w:rsid w:val="60624BBE"/>
    <w:rsid w:val="60932FCA"/>
    <w:rsid w:val="60936B26"/>
    <w:rsid w:val="60940AF0"/>
    <w:rsid w:val="609805E0"/>
    <w:rsid w:val="609D7126"/>
    <w:rsid w:val="60AA0313"/>
    <w:rsid w:val="60AF76D8"/>
    <w:rsid w:val="60B13450"/>
    <w:rsid w:val="60B847DE"/>
    <w:rsid w:val="60B90494"/>
    <w:rsid w:val="60BE791B"/>
    <w:rsid w:val="60C24ABB"/>
    <w:rsid w:val="60C80280"/>
    <w:rsid w:val="60D333C6"/>
    <w:rsid w:val="60DF620F"/>
    <w:rsid w:val="60E455D3"/>
    <w:rsid w:val="60EC1A0C"/>
    <w:rsid w:val="60FB46CB"/>
    <w:rsid w:val="61016185"/>
    <w:rsid w:val="61073070"/>
    <w:rsid w:val="611A7247"/>
    <w:rsid w:val="61202383"/>
    <w:rsid w:val="612E684E"/>
    <w:rsid w:val="613214F7"/>
    <w:rsid w:val="61455554"/>
    <w:rsid w:val="614D2125"/>
    <w:rsid w:val="6155027F"/>
    <w:rsid w:val="6155202D"/>
    <w:rsid w:val="61565DA5"/>
    <w:rsid w:val="61572249"/>
    <w:rsid w:val="6158615C"/>
    <w:rsid w:val="61786204"/>
    <w:rsid w:val="617D3332"/>
    <w:rsid w:val="618F621F"/>
    <w:rsid w:val="61926DDD"/>
    <w:rsid w:val="61930DA7"/>
    <w:rsid w:val="619F5214"/>
    <w:rsid w:val="61A66D2D"/>
    <w:rsid w:val="61B2747F"/>
    <w:rsid w:val="61BB525E"/>
    <w:rsid w:val="61BC597B"/>
    <w:rsid w:val="61CB6793"/>
    <w:rsid w:val="61E3588B"/>
    <w:rsid w:val="61E635CD"/>
    <w:rsid w:val="61E810F3"/>
    <w:rsid w:val="61F64FDE"/>
    <w:rsid w:val="61F71336"/>
    <w:rsid w:val="620F7C5B"/>
    <w:rsid w:val="621451E0"/>
    <w:rsid w:val="62247DAB"/>
    <w:rsid w:val="62257C51"/>
    <w:rsid w:val="622B1E20"/>
    <w:rsid w:val="622F0AD0"/>
    <w:rsid w:val="623065F6"/>
    <w:rsid w:val="62312A9A"/>
    <w:rsid w:val="62375BD7"/>
    <w:rsid w:val="6239194F"/>
    <w:rsid w:val="62467BC8"/>
    <w:rsid w:val="62483940"/>
    <w:rsid w:val="624D27B1"/>
    <w:rsid w:val="625921A6"/>
    <w:rsid w:val="62606EDB"/>
    <w:rsid w:val="626A7D5A"/>
    <w:rsid w:val="6273249A"/>
    <w:rsid w:val="6275017D"/>
    <w:rsid w:val="62775FD3"/>
    <w:rsid w:val="627B7453"/>
    <w:rsid w:val="627E6DF6"/>
    <w:rsid w:val="628A3F58"/>
    <w:rsid w:val="628C1A7E"/>
    <w:rsid w:val="62951891"/>
    <w:rsid w:val="62981BC5"/>
    <w:rsid w:val="629937AF"/>
    <w:rsid w:val="62A3326C"/>
    <w:rsid w:val="62A74B0A"/>
    <w:rsid w:val="62AA63A9"/>
    <w:rsid w:val="62B56F89"/>
    <w:rsid w:val="62B66AFB"/>
    <w:rsid w:val="62C54F90"/>
    <w:rsid w:val="62CA25A7"/>
    <w:rsid w:val="62D1262B"/>
    <w:rsid w:val="62D653F0"/>
    <w:rsid w:val="62DC7048"/>
    <w:rsid w:val="62DD64D7"/>
    <w:rsid w:val="62DF3940"/>
    <w:rsid w:val="62E01DCA"/>
    <w:rsid w:val="62E55633"/>
    <w:rsid w:val="62EC076F"/>
    <w:rsid w:val="62F12229"/>
    <w:rsid w:val="62F45876"/>
    <w:rsid w:val="62F6339C"/>
    <w:rsid w:val="63030138"/>
    <w:rsid w:val="630C2BBF"/>
    <w:rsid w:val="63141A74"/>
    <w:rsid w:val="63160D75"/>
    <w:rsid w:val="631D3D99"/>
    <w:rsid w:val="6320177E"/>
    <w:rsid w:val="632223E3"/>
    <w:rsid w:val="6327373A"/>
    <w:rsid w:val="632D0ECD"/>
    <w:rsid w:val="632D72AE"/>
    <w:rsid w:val="632E6FDA"/>
    <w:rsid w:val="633A6756"/>
    <w:rsid w:val="63422A85"/>
    <w:rsid w:val="63493E13"/>
    <w:rsid w:val="634A24FD"/>
    <w:rsid w:val="634F3F9E"/>
    <w:rsid w:val="6353259C"/>
    <w:rsid w:val="63561030"/>
    <w:rsid w:val="636E5628"/>
    <w:rsid w:val="63750765"/>
    <w:rsid w:val="63765563"/>
    <w:rsid w:val="637A23E2"/>
    <w:rsid w:val="637A3FCD"/>
    <w:rsid w:val="63864720"/>
    <w:rsid w:val="638C24E6"/>
    <w:rsid w:val="63950E07"/>
    <w:rsid w:val="639952B6"/>
    <w:rsid w:val="63A177AC"/>
    <w:rsid w:val="63A302B6"/>
    <w:rsid w:val="63A64DC2"/>
    <w:rsid w:val="63AC7240"/>
    <w:rsid w:val="63B219B9"/>
    <w:rsid w:val="63B23767"/>
    <w:rsid w:val="63B63177"/>
    <w:rsid w:val="63BC0C19"/>
    <w:rsid w:val="63C811DC"/>
    <w:rsid w:val="63CB4828"/>
    <w:rsid w:val="63CB65D6"/>
    <w:rsid w:val="63D7141F"/>
    <w:rsid w:val="63DA2222"/>
    <w:rsid w:val="63DC6A36"/>
    <w:rsid w:val="63F55D49"/>
    <w:rsid w:val="63FB6CC5"/>
    <w:rsid w:val="63FF5BE7"/>
    <w:rsid w:val="6401024A"/>
    <w:rsid w:val="640D711E"/>
    <w:rsid w:val="641878C1"/>
    <w:rsid w:val="642B3519"/>
    <w:rsid w:val="642D54E3"/>
    <w:rsid w:val="64361863"/>
    <w:rsid w:val="64371EBE"/>
    <w:rsid w:val="643979E4"/>
    <w:rsid w:val="643F7ECA"/>
    <w:rsid w:val="64410F8F"/>
    <w:rsid w:val="64414AEB"/>
    <w:rsid w:val="64442D19"/>
    <w:rsid w:val="6447658E"/>
    <w:rsid w:val="644A1BF1"/>
    <w:rsid w:val="646A5DEF"/>
    <w:rsid w:val="64746C6E"/>
    <w:rsid w:val="647B624F"/>
    <w:rsid w:val="64805613"/>
    <w:rsid w:val="648F3AA8"/>
    <w:rsid w:val="649864A1"/>
    <w:rsid w:val="649B069F"/>
    <w:rsid w:val="649E3CEB"/>
    <w:rsid w:val="64A01811"/>
    <w:rsid w:val="64A758F9"/>
    <w:rsid w:val="64DB6CED"/>
    <w:rsid w:val="64E60937"/>
    <w:rsid w:val="64F16511"/>
    <w:rsid w:val="65077AE2"/>
    <w:rsid w:val="65183A9D"/>
    <w:rsid w:val="651D7306"/>
    <w:rsid w:val="65201439"/>
    <w:rsid w:val="65366619"/>
    <w:rsid w:val="653C6D09"/>
    <w:rsid w:val="653F6408"/>
    <w:rsid w:val="65491EA9"/>
    <w:rsid w:val="655F26E6"/>
    <w:rsid w:val="655F347A"/>
    <w:rsid w:val="6562740E"/>
    <w:rsid w:val="656C1163"/>
    <w:rsid w:val="657A6506"/>
    <w:rsid w:val="657B5DDA"/>
    <w:rsid w:val="65841133"/>
    <w:rsid w:val="659C2F07"/>
    <w:rsid w:val="65A45331"/>
    <w:rsid w:val="65A97A1D"/>
    <w:rsid w:val="65BA2DA7"/>
    <w:rsid w:val="65BA6903"/>
    <w:rsid w:val="65C23A09"/>
    <w:rsid w:val="65C9123C"/>
    <w:rsid w:val="65DA6FA5"/>
    <w:rsid w:val="65DC0F6F"/>
    <w:rsid w:val="65DC2D1D"/>
    <w:rsid w:val="65DE0AB8"/>
    <w:rsid w:val="65DF6369"/>
    <w:rsid w:val="65ED6E33"/>
    <w:rsid w:val="65F53DDF"/>
    <w:rsid w:val="65FA13F5"/>
    <w:rsid w:val="65FD4F4D"/>
    <w:rsid w:val="66157FDD"/>
    <w:rsid w:val="661C580F"/>
    <w:rsid w:val="662761BA"/>
    <w:rsid w:val="662D17CA"/>
    <w:rsid w:val="662F72F1"/>
    <w:rsid w:val="66311638"/>
    <w:rsid w:val="66342B59"/>
    <w:rsid w:val="663E66DE"/>
    <w:rsid w:val="66417024"/>
    <w:rsid w:val="66540B05"/>
    <w:rsid w:val="665723A3"/>
    <w:rsid w:val="665F74AA"/>
    <w:rsid w:val="66794A10"/>
    <w:rsid w:val="667B2536"/>
    <w:rsid w:val="667E5B45"/>
    <w:rsid w:val="66836D7F"/>
    <w:rsid w:val="6687372F"/>
    <w:rsid w:val="6688644D"/>
    <w:rsid w:val="66935F55"/>
    <w:rsid w:val="6694497A"/>
    <w:rsid w:val="66A00CFA"/>
    <w:rsid w:val="66B141AA"/>
    <w:rsid w:val="66B71094"/>
    <w:rsid w:val="66BA2932"/>
    <w:rsid w:val="66D02156"/>
    <w:rsid w:val="66FC2F4B"/>
    <w:rsid w:val="670C13E0"/>
    <w:rsid w:val="670D6F06"/>
    <w:rsid w:val="67177D85"/>
    <w:rsid w:val="67184229"/>
    <w:rsid w:val="671B7875"/>
    <w:rsid w:val="67204E8B"/>
    <w:rsid w:val="67283D40"/>
    <w:rsid w:val="67317098"/>
    <w:rsid w:val="67402D88"/>
    <w:rsid w:val="67455F68"/>
    <w:rsid w:val="674C7A2E"/>
    <w:rsid w:val="67535261"/>
    <w:rsid w:val="67564D51"/>
    <w:rsid w:val="676837E9"/>
    <w:rsid w:val="676E0ECC"/>
    <w:rsid w:val="67713939"/>
    <w:rsid w:val="67746F85"/>
    <w:rsid w:val="677A0A3F"/>
    <w:rsid w:val="678278F4"/>
    <w:rsid w:val="67836EF1"/>
    <w:rsid w:val="678371C8"/>
    <w:rsid w:val="67900263"/>
    <w:rsid w:val="679B2764"/>
    <w:rsid w:val="67A4024A"/>
    <w:rsid w:val="67A50C5E"/>
    <w:rsid w:val="67A7735B"/>
    <w:rsid w:val="67A91325"/>
    <w:rsid w:val="67AC2BC3"/>
    <w:rsid w:val="67AE693B"/>
    <w:rsid w:val="67B35CFF"/>
    <w:rsid w:val="67B83316"/>
    <w:rsid w:val="67BD092C"/>
    <w:rsid w:val="67C972D1"/>
    <w:rsid w:val="67D143D7"/>
    <w:rsid w:val="67D22629"/>
    <w:rsid w:val="67D43D2A"/>
    <w:rsid w:val="67D57A24"/>
    <w:rsid w:val="67D6379C"/>
    <w:rsid w:val="67DD4B2A"/>
    <w:rsid w:val="67DF4006"/>
    <w:rsid w:val="67E1553D"/>
    <w:rsid w:val="67E4410B"/>
    <w:rsid w:val="67E65919"/>
    <w:rsid w:val="67E67E83"/>
    <w:rsid w:val="67F307F2"/>
    <w:rsid w:val="67F7371C"/>
    <w:rsid w:val="67FC1454"/>
    <w:rsid w:val="68014CBD"/>
    <w:rsid w:val="68016A6B"/>
    <w:rsid w:val="680E5A14"/>
    <w:rsid w:val="68294213"/>
    <w:rsid w:val="68346986"/>
    <w:rsid w:val="683E009D"/>
    <w:rsid w:val="6841330B"/>
    <w:rsid w:val="68476448"/>
    <w:rsid w:val="684D3A5E"/>
    <w:rsid w:val="684D7F02"/>
    <w:rsid w:val="685C6397"/>
    <w:rsid w:val="68692862"/>
    <w:rsid w:val="68751207"/>
    <w:rsid w:val="68763BEA"/>
    <w:rsid w:val="687731D1"/>
    <w:rsid w:val="687A05CB"/>
    <w:rsid w:val="687F3E33"/>
    <w:rsid w:val="687F7DF0"/>
    <w:rsid w:val="68831B76"/>
    <w:rsid w:val="688A2F04"/>
    <w:rsid w:val="68906041"/>
    <w:rsid w:val="689478DF"/>
    <w:rsid w:val="68A37B22"/>
    <w:rsid w:val="68A90A0A"/>
    <w:rsid w:val="68B4049D"/>
    <w:rsid w:val="68B919F9"/>
    <w:rsid w:val="68BB3921"/>
    <w:rsid w:val="68C21B02"/>
    <w:rsid w:val="68C22BD8"/>
    <w:rsid w:val="68C63810"/>
    <w:rsid w:val="68CD4B9F"/>
    <w:rsid w:val="68D20407"/>
    <w:rsid w:val="68DB550E"/>
    <w:rsid w:val="68DC28D0"/>
    <w:rsid w:val="68E00D76"/>
    <w:rsid w:val="68E85E7D"/>
    <w:rsid w:val="68EA74FF"/>
    <w:rsid w:val="68F465CF"/>
    <w:rsid w:val="69000A2F"/>
    <w:rsid w:val="69061253"/>
    <w:rsid w:val="69112CDD"/>
    <w:rsid w:val="69177660"/>
    <w:rsid w:val="691B3B5C"/>
    <w:rsid w:val="691B590A"/>
    <w:rsid w:val="69281F92"/>
    <w:rsid w:val="693966D8"/>
    <w:rsid w:val="69462634"/>
    <w:rsid w:val="694F7B9B"/>
    <w:rsid w:val="69521573"/>
    <w:rsid w:val="695B7BA0"/>
    <w:rsid w:val="69625FE3"/>
    <w:rsid w:val="69692B1A"/>
    <w:rsid w:val="696F20FA"/>
    <w:rsid w:val="697638C4"/>
    <w:rsid w:val="698626E2"/>
    <w:rsid w:val="69877444"/>
    <w:rsid w:val="698919CA"/>
    <w:rsid w:val="698C05B6"/>
    <w:rsid w:val="699E02E9"/>
    <w:rsid w:val="69A05F97"/>
    <w:rsid w:val="69A17905"/>
    <w:rsid w:val="69A41DA4"/>
    <w:rsid w:val="69C266CE"/>
    <w:rsid w:val="69C75A92"/>
    <w:rsid w:val="69CA46D0"/>
    <w:rsid w:val="69D1246D"/>
    <w:rsid w:val="69EC54F9"/>
    <w:rsid w:val="69F04FE9"/>
    <w:rsid w:val="69F06D97"/>
    <w:rsid w:val="69F34AD9"/>
    <w:rsid w:val="69F85C4B"/>
    <w:rsid w:val="6A0445F0"/>
    <w:rsid w:val="6A114F5F"/>
    <w:rsid w:val="6A1B3D55"/>
    <w:rsid w:val="6A276531"/>
    <w:rsid w:val="6A2922A9"/>
    <w:rsid w:val="6A2C5734"/>
    <w:rsid w:val="6A2E44FC"/>
    <w:rsid w:val="6A334ED5"/>
    <w:rsid w:val="6A3419CA"/>
    <w:rsid w:val="6A365D19"/>
    <w:rsid w:val="6A3A2708"/>
    <w:rsid w:val="6A3C022E"/>
    <w:rsid w:val="6A3E2960"/>
    <w:rsid w:val="6A415844"/>
    <w:rsid w:val="6A4610AD"/>
    <w:rsid w:val="6A586F30"/>
    <w:rsid w:val="6A5C61DA"/>
    <w:rsid w:val="6A633A0D"/>
    <w:rsid w:val="6A6E23B2"/>
    <w:rsid w:val="6A731776"/>
    <w:rsid w:val="6A750417"/>
    <w:rsid w:val="6A7554EE"/>
    <w:rsid w:val="6A75729C"/>
    <w:rsid w:val="6A7D0AAA"/>
    <w:rsid w:val="6A7E25F5"/>
    <w:rsid w:val="6A8C39E7"/>
    <w:rsid w:val="6A8E035E"/>
    <w:rsid w:val="6A9260A0"/>
    <w:rsid w:val="6AA63240"/>
    <w:rsid w:val="6AA933EA"/>
    <w:rsid w:val="6AB230F0"/>
    <w:rsid w:val="6ABC311D"/>
    <w:rsid w:val="6AC204C3"/>
    <w:rsid w:val="6AD42215"/>
    <w:rsid w:val="6ADC7A24"/>
    <w:rsid w:val="6ADE4689"/>
    <w:rsid w:val="6AE60B21"/>
    <w:rsid w:val="6AE61F48"/>
    <w:rsid w:val="6AE83F12"/>
    <w:rsid w:val="6AEA1A38"/>
    <w:rsid w:val="6AF64881"/>
    <w:rsid w:val="6AFE3735"/>
    <w:rsid w:val="6AFE7291"/>
    <w:rsid w:val="6B014FD4"/>
    <w:rsid w:val="6B032AFA"/>
    <w:rsid w:val="6B0B7C00"/>
    <w:rsid w:val="6B0C2593"/>
    <w:rsid w:val="6B1A31F8"/>
    <w:rsid w:val="6B2C212A"/>
    <w:rsid w:val="6B3C600C"/>
    <w:rsid w:val="6B421874"/>
    <w:rsid w:val="6B427AC6"/>
    <w:rsid w:val="6B445431"/>
    <w:rsid w:val="6B4578DB"/>
    <w:rsid w:val="6B5670CE"/>
    <w:rsid w:val="6B621F16"/>
    <w:rsid w:val="6B833C3B"/>
    <w:rsid w:val="6B930322"/>
    <w:rsid w:val="6B96396E"/>
    <w:rsid w:val="6B99520C"/>
    <w:rsid w:val="6B9B6F29"/>
    <w:rsid w:val="6BA442DD"/>
    <w:rsid w:val="6BA5042F"/>
    <w:rsid w:val="6BAA11C7"/>
    <w:rsid w:val="6BB169FA"/>
    <w:rsid w:val="6BBA58AE"/>
    <w:rsid w:val="6BC202FC"/>
    <w:rsid w:val="6BC26511"/>
    <w:rsid w:val="6BCA3618"/>
    <w:rsid w:val="6BCE3108"/>
    <w:rsid w:val="6BD10E4A"/>
    <w:rsid w:val="6BDB75D3"/>
    <w:rsid w:val="6BDF70C3"/>
    <w:rsid w:val="6BE0108D"/>
    <w:rsid w:val="6BE91CF0"/>
    <w:rsid w:val="6BEB4F4E"/>
    <w:rsid w:val="6BF16DF6"/>
    <w:rsid w:val="6BF951C8"/>
    <w:rsid w:val="6BFA214F"/>
    <w:rsid w:val="6C054650"/>
    <w:rsid w:val="6C101972"/>
    <w:rsid w:val="6C1A459F"/>
    <w:rsid w:val="6C1D5E3D"/>
    <w:rsid w:val="6C21592D"/>
    <w:rsid w:val="6C225202"/>
    <w:rsid w:val="6C3118E9"/>
    <w:rsid w:val="6C33740F"/>
    <w:rsid w:val="6C4D6722"/>
    <w:rsid w:val="6C553829"/>
    <w:rsid w:val="6C5850C7"/>
    <w:rsid w:val="6C691082"/>
    <w:rsid w:val="6C735A5D"/>
    <w:rsid w:val="6C77554D"/>
    <w:rsid w:val="6C7F79E6"/>
    <w:rsid w:val="6C81461E"/>
    <w:rsid w:val="6C895281"/>
    <w:rsid w:val="6C89702F"/>
    <w:rsid w:val="6C9D2ADA"/>
    <w:rsid w:val="6CA420BB"/>
    <w:rsid w:val="6CA94952"/>
    <w:rsid w:val="6CB247D7"/>
    <w:rsid w:val="6CBF194A"/>
    <w:rsid w:val="6CC3017E"/>
    <w:rsid w:val="6CC83FFB"/>
    <w:rsid w:val="6CCB3AEB"/>
    <w:rsid w:val="6CD02EB0"/>
    <w:rsid w:val="6CD81D64"/>
    <w:rsid w:val="6CE16E6B"/>
    <w:rsid w:val="6CE348FB"/>
    <w:rsid w:val="6CF070AE"/>
    <w:rsid w:val="6CF7668E"/>
    <w:rsid w:val="6CFA7A24"/>
    <w:rsid w:val="6D02333A"/>
    <w:rsid w:val="6D050DAB"/>
    <w:rsid w:val="6D0D1A0E"/>
    <w:rsid w:val="6D12171A"/>
    <w:rsid w:val="6D147240"/>
    <w:rsid w:val="6D1C4347"/>
    <w:rsid w:val="6D205BE5"/>
    <w:rsid w:val="6D2356D5"/>
    <w:rsid w:val="6D262AD0"/>
    <w:rsid w:val="6D286848"/>
    <w:rsid w:val="6D396CA7"/>
    <w:rsid w:val="6D512242"/>
    <w:rsid w:val="6D567859"/>
    <w:rsid w:val="6D5C6D77"/>
    <w:rsid w:val="6D641ADD"/>
    <w:rsid w:val="6D6B7FF5"/>
    <w:rsid w:val="6D6C6D24"/>
    <w:rsid w:val="6D6D4BA2"/>
    <w:rsid w:val="6D853C9A"/>
    <w:rsid w:val="6D88378A"/>
    <w:rsid w:val="6D9E2FAE"/>
    <w:rsid w:val="6DA2484C"/>
    <w:rsid w:val="6DA93E2C"/>
    <w:rsid w:val="6DAC56CB"/>
    <w:rsid w:val="6DB24D6B"/>
    <w:rsid w:val="6DB4632D"/>
    <w:rsid w:val="6DB571CA"/>
    <w:rsid w:val="6DB620A5"/>
    <w:rsid w:val="6DB63E53"/>
    <w:rsid w:val="6DC522E8"/>
    <w:rsid w:val="6DD54C21"/>
    <w:rsid w:val="6DD644F6"/>
    <w:rsid w:val="6DE9247B"/>
    <w:rsid w:val="6DEB6CC2"/>
    <w:rsid w:val="6DEC505A"/>
    <w:rsid w:val="6DFB0400"/>
    <w:rsid w:val="6DFD64EC"/>
    <w:rsid w:val="6E0472B5"/>
    <w:rsid w:val="6E082895"/>
    <w:rsid w:val="6E1868BC"/>
    <w:rsid w:val="6E193E12"/>
    <w:rsid w:val="6E1F40EF"/>
    <w:rsid w:val="6E241705"/>
    <w:rsid w:val="6E272FA3"/>
    <w:rsid w:val="6E3556C0"/>
    <w:rsid w:val="6E3A2CD6"/>
    <w:rsid w:val="6E3B12CE"/>
    <w:rsid w:val="6E433B5F"/>
    <w:rsid w:val="6E5024FA"/>
    <w:rsid w:val="6E6316FE"/>
    <w:rsid w:val="6E661D1D"/>
    <w:rsid w:val="6E6B10E2"/>
    <w:rsid w:val="6E700D11"/>
    <w:rsid w:val="6E71421E"/>
    <w:rsid w:val="6E7361E8"/>
    <w:rsid w:val="6E8126B3"/>
    <w:rsid w:val="6E8302BF"/>
    <w:rsid w:val="6E8820E1"/>
    <w:rsid w:val="6E9543B1"/>
    <w:rsid w:val="6E971ED7"/>
    <w:rsid w:val="6E9A5523"/>
    <w:rsid w:val="6E9D5013"/>
    <w:rsid w:val="6EA72431"/>
    <w:rsid w:val="6EA97E5C"/>
    <w:rsid w:val="6EAB3BD4"/>
    <w:rsid w:val="6EBF142E"/>
    <w:rsid w:val="6ECB57E2"/>
    <w:rsid w:val="6EDF387E"/>
    <w:rsid w:val="6EE90259"/>
    <w:rsid w:val="6EF32E85"/>
    <w:rsid w:val="6EFE2E9D"/>
    <w:rsid w:val="6F0532E4"/>
    <w:rsid w:val="6F060E0B"/>
    <w:rsid w:val="6F135451"/>
    <w:rsid w:val="6F174DC6"/>
    <w:rsid w:val="6F1F3C7A"/>
    <w:rsid w:val="6F2375E4"/>
    <w:rsid w:val="6F2A0B07"/>
    <w:rsid w:val="6F2B0871"/>
    <w:rsid w:val="6F2F210F"/>
    <w:rsid w:val="6F3E2352"/>
    <w:rsid w:val="6F3F446E"/>
    <w:rsid w:val="6F4162E7"/>
    <w:rsid w:val="6F433BCC"/>
    <w:rsid w:val="6F4C23E3"/>
    <w:rsid w:val="6F541B76"/>
    <w:rsid w:val="6F5A4D44"/>
    <w:rsid w:val="6F60051B"/>
    <w:rsid w:val="6F742218"/>
    <w:rsid w:val="6F771D08"/>
    <w:rsid w:val="6F792EBD"/>
    <w:rsid w:val="6F8A1A3C"/>
    <w:rsid w:val="6F912DCA"/>
    <w:rsid w:val="6F925F92"/>
    <w:rsid w:val="6F9D176F"/>
    <w:rsid w:val="6FA10B33"/>
    <w:rsid w:val="6FA217F3"/>
    <w:rsid w:val="6FA36659"/>
    <w:rsid w:val="6FAA79E8"/>
    <w:rsid w:val="6FAC19B2"/>
    <w:rsid w:val="6FC447D8"/>
    <w:rsid w:val="6FC54822"/>
    <w:rsid w:val="6FCD1928"/>
    <w:rsid w:val="6FD26F3F"/>
    <w:rsid w:val="6FD5745C"/>
    <w:rsid w:val="6FD74555"/>
    <w:rsid w:val="6FDB2297"/>
    <w:rsid w:val="6FE0165C"/>
    <w:rsid w:val="6FF24B2E"/>
    <w:rsid w:val="6FF3138F"/>
    <w:rsid w:val="6FF60E7F"/>
    <w:rsid w:val="6FF670D1"/>
    <w:rsid w:val="6FFE1AE2"/>
    <w:rsid w:val="70127ACB"/>
    <w:rsid w:val="701337DF"/>
    <w:rsid w:val="70147557"/>
    <w:rsid w:val="70235699"/>
    <w:rsid w:val="70246C53"/>
    <w:rsid w:val="70384F9F"/>
    <w:rsid w:val="70514307"/>
    <w:rsid w:val="70592EDC"/>
    <w:rsid w:val="705F07D2"/>
    <w:rsid w:val="705F6A24"/>
    <w:rsid w:val="70681982"/>
    <w:rsid w:val="706E6C67"/>
    <w:rsid w:val="70707286"/>
    <w:rsid w:val="70743AFE"/>
    <w:rsid w:val="70790B21"/>
    <w:rsid w:val="70822713"/>
    <w:rsid w:val="70847E02"/>
    <w:rsid w:val="70890F19"/>
    <w:rsid w:val="70967F6C"/>
    <w:rsid w:val="709A3F00"/>
    <w:rsid w:val="709B5583"/>
    <w:rsid w:val="70A1528F"/>
    <w:rsid w:val="70AE3508"/>
    <w:rsid w:val="70BF3967"/>
    <w:rsid w:val="70C1148D"/>
    <w:rsid w:val="70C20D61"/>
    <w:rsid w:val="70C60851"/>
    <w:rsid w:val="70C76378"/>
    <w:rsid w:val="70CD7E32"/>
    <w:rsid w:val="70CE7706"/>
    <w:rsid w:val="70D311C0"/>
    <w:rsid w:val="70D6480D"/>
    <w:rsid w:val="70DF36C1"/>
    <w:rsid w:val="70F21D91"/>
    <w:rsid w:val="70F27898"/>
    <w:rsid w:val="70F4004C"/>
    <w:rsid w:val="70F51137"/>
    <w:rsid w:val="70F537D8"/>
    <w:rsid w:val="710650F2"/>
    <w:rsid w:val="71074DB7"/>
    <w:rsid w:val="71174225"/>
    <w:rsid w:val="71193077"/>
    <w:rsid w:val="711C4915"/>
    <w:rsid w:val="71357785"/>
    <w:rsid w:val="713A37D6"/>
    <w:rsid w:val="713F23B2"/>
    <w:rsid w:val="7145602F"/>
    <w:rsid w:val="714827F6"/>
    <w:rsid w:val="714E0847"/>
    <w:rsid w:val="71502811"/>
    <w:rsid w:val="71526589"/>
    <w:rsid w:val="71582525"/>
    <w:rsid w:val="715B7E1E"/>
    <w:rsid w:val="71641E18"/>
    <w:rsid w:val="716F713B"/>
    <w:rsid w:val="71791D68"/>
    <w:rsid w:val="71883D59"/>
    <w:rsid w:val="718B1DC5"/>
    <w:rsid w:val="71AA3CCF"/>
    <w:rsid w:val="71AB7A47"/>
    <w:rsid w:val="71AF7537"/>
    <w:rsid w:val="71BB2380"/>
    <w:rsid w:val="71D46F9E"/>
    <w:rsid w:val="71D945B4"/>
    <w:rsid w:val="71DB657E"/>
    <w:rsid w:val="71E60A7F"/>
    <w:rsid w:val="71E847F7"/>
    <w:rsid w:val="71ED1E0E"/>
    <w:rsid w:val="71FD64F5"/>
    <w:rsid w:val="71FE634A"/>
    <w:rsid w:val="72001B41"/>
    <w:rsid w:val="72033E1A"/>
    <w:rsid w:val="72037C3F"/>
    <w:rsid w:val="72071122"/>
    <w:rsid w:val="720A29C0"/>
    <w:rsid w:val="721006D0"/>
    <w:rsid w:val="721E252E"/>
    <w:rsid w:val="722D3F99"/>
    <w:rsid w:val="722F68CA"/>
    <w:rsid w:val="72345C8F"/>
    <w:rsid w:val="7236374A"/>
    <w:rsid w:val="723D35C5"/>
    <w:rsid w:val="723D4B43"/>
    <w:rsid w:val="724415B4"/>
    <w:rsid w:val="724A7260"/>
    <w:rsid w:val="724E6D50"/>
    <w:rsid w:val="725105EF"/>
    <w:rsid w:val="726245AA"/>
    <w:rsid w:val="72671BC0"/>
    <w:rsid w:val="72677E12"/>
    <w:rsid w:val="7270316B"/>
    <w:rsid w:val="727E10B6"/>
    <w:rsid w:val="727F33AE"/>
    <w:rsid w:val="727F515C"/>
    <w:rsid w:val="72811A5A"/>
    <w:rsid w:val="728564EA"/>
    <w:rsid w:val="7289422C"/>
    <w:rsid w:val="728B1D53"/>
    <w:rsid w:val="72974D7A"/>
    <w:rsid w:val="729F75AC"/>
    <w:rsid w:val="72A921D9"/>
    <w:rsid w:val="72B708BB"/>
    <w:rsid w:val="72B8066E"/>
    <w:rsid w:val="72B832BB"/>
    <w:rsid w:val="72BB3CBA"/>
    <w:rsid w:val="72C214EC"/>
    <w:rsid w:val="72C2329A"/>
    <w:rsid w:val="72C47013"/>
    <w:rsid w:val="72CE7E91"/>
    <w:rsid w:val="72D52FCE"/>
    <w:rsid w:val="72FD35D9"/>
    <w:rsid w:val="73010267"/>
    <w:rsid w:val="73050A75"/>
    <w:rsid w:val="730D09BA"/>
    <w:rsid w:val="73140E07"/>
    <w:rsid w:val="731A4E85"/>
    <w:rsid w:val="731E0D67"/>
    <w:rsid w:val="73267CCD"/>
    <w:rsid w:val="732857F3"/>
    <w:rsid w:val="73353A6C"/>
    <w:rsid w:val="733817AF"/>
    <w:rsid w:val="733E5017"/>
    <w:rsid w:val="733F36FC"/>
    <w:rsid w:val="734B3290"/>
    <w:rsid w:val="734C0B58"/>
    <w:rsid w:val="73522870"/>
    <w:rsid w:val="73531895"/>
    <w:rsid w:val="7354206C"/>
    <w:rsid w:val="73577FD4"/>
    <w:rsid w:val="735A1725"/>
    <w:rsid w:val="736B5864"/>
    <w:rsid w:val="73715167"/>
    <w:rsid w:val="737C5B3F"/>
    <w:rsid w:val="738D1AFA"/>
    <w:rsid w:val="738E13CF"/>
    <w:rsid w:val="73942E89"/>
    <w:rsid w:val="73950181"/>
    <w:rsid w:val="739A34C1"/>
    <w:rsid w:val="73A11102"/>
    <w:rsid w:val="73A66718"/>
    <w:rsid w:val="73A82490"/>
    <w:rsid w:val="73AD5CF9"/>
    <w:rsid w:val="73C13552"/>
    <w:rsid w:val="73D43285"/>
    <w:rsid w:val="73DC038C"/>
    <w:rsid w:val="73DE5EB2"/>
    <w:rsid w:val="73E01C2A"/>
    <w:rsid w:val="73E831D5"/>
    <w:rsid w:val="73E8400F"/>
    <w:rsid w:val="740055BB"/>
    <w:rsid w:val="7403414D"/>
    <w:rsid w:val="740873D5"/>
    <w:rsid w:val="74104710"/>
    <w:rsid w:val="741144D9"/>
    <w:rsid w:val="74123DAE"/>
    <w:rsid w:val="741274E6"/>
    <w:rsid w:val="741713C4"/>
    <w:rsid w:val="741C3311"/>
    <w:rsid w:val="741C4C2C"/>
    <w:rsid w:val="741C69DA"/>
    <w:rsid w:val="74253A54"/>
    <w:rsid w:val="74273CFD"/>
    <w:rsid w:val="74285036"/>
    <w:rsid w:val="742C30C1"/>
    <w:rsid w:val="74324450"/>
    <w:rsid w:val="743B1556"/>
    <w:rsid w:val="743F5469"/>
    <w:rsid w:val="7440091B"/>
    <w:rsid w:val="74493C73"/>
    <w:rsid w:val="74597C2E"/>
    <w:rsid w:val="74600FBD"/>
    <w:rsid w:val="74654825"/>
    <w:rsid w:val="74732A9E"/>
    <w:rsid w:val="74784559"/>
    <w:rsid w:val="747F7695"/>
    <w:rsid w:val="74940C67"/>
    <w:rsid w:val="74960622"/>
    <w:rsid w:val="74980757"/>
    <w:rsid w:val="749B3DA3"/>
    <w:rsid w:val="74A25132"/>
    <w:rsid w:val="74B60BDD"/>
    <w:rsid w:val="74C62534"/>
    <w:rsid w:val="74D0783E"/>
    <w:rsid w:val="74D6302D"/>
    <w:rsid w:val="74DF0134"/>
    <w:rsid w:val="74F57295"/>
    <w:rsid w:val="74FC0CE6"/>
    <w:rsid w:val="74FD2525"/>
    <w:rsid w:val="74FF73E9"/>
    <w:rsid w:val="75041948"/>
    <w:rsid w:val="75091655"/>
    <w:rsid w:val="751A116C"/>
    <w:rsid w:val="753366D1"/>
    <w:rsid w:val="75363ACC"/>
    <w:rsid w:val="753C7334"/>
    <w:rsid w:val="754C32EF"/>
    <w:rsid w:val="754D1541"/>
    <w:rsid w:val="754E52B9"/>
    <w:rsid w:val="75573B37"/>
    <w:rsid w:val="75575F1C"/>
    <w:rsid w:val="755A1EB0"/>
    <w:rsid w:val="756B5E6B"/>
    <w:rsid w:val="756D573F"/>
    <w:rsid w:val="756F0752"/>
    <w:rsid w:val="75722D56"/>
    <w:rsid w:val="757E794D"/>
    <w:rsid w:val="75882579"/>
    <w:rsid w:val="75884065"/>
    <w:rsid w:val="758D5DE2"/>
    <w:rsid w:val="759A04FF"/>
    <w:rsid w:val="759D02C4"/>
    <w:rsid w:val="75A426F4"/>
    <w:rsid w:val="75A66EA3"/>
    <w:rsid w:val="75B62637"/>
    <w:rsid w:val="75B710B1"/>
    <w:rsid w:val="75B83746"/>
    <w:rsid w:val="75BB69C6"/>
    <w:rsid w:val="75C22FC6"/>
    <w:rsid w:val="75C335B1"/>
    <w:rsid w:val="75D02172"/>
    <w:rsid w:val="75D752AF"/>
    <w:rsid w:val="75FB3513"/>
    <w:rsid w:val="76037E52"/>
    <w:rsid w:val="76053BCA"/>
    <w:rsid w:val="7608190C"/>
    <w:rsid w:val="760A11E0"/>
    <w:rsid w:val="760B6D06"/>
    <w:rsid w:val="760C31AA"/>
    <w:rsid w:val="760D0CD1"/>
    <w:rsid w:val="761C7166"/>
    <w:rsid w:val="762027B2"/>
    <w:rsid w:val="76257DC8"/>
    <w:rsid w:val="76371E5E"/>
    <w:rsid w:val="76402E54"/>
    <w:rsid w:val="7641097A"/>
    <w:rsid w:val="7647571C"/>
    <w:rsid w:val="76530DD9"/>
    <w:rsid w:val="765F08FD"/>
    <w:rsid w:val="766052A4"/>
    <w:rsid w:val="76654669"/>
    <w:rsid w:val="76684159"/>
    <w:rsid w:val="766D6E76"/>
    <w:rsid w:val="766F3739"/>
    <w:rsid w:val="767F4C98"/>
    <w:rsid w:val="7682346D"/>
    <w:rsid w:val="768C4761"/>
    <w:rsid w:val="768E78F0"/>
    <w:rsid w:val="768F7938"/>
    <w:rsid w:val="76944F4E"/>
    <w:rsid w:val="76A333E3"/>
    <w:rsid w:val="76B94DF0"/>
    <w:rsid w:val="76BB072D"/>
    <w:rsid w:val="76C22057"/>
    <w:rsid w:val="76C257AD"/>
    <w:rsid w:val="76C27D0D"/>
    <w:rsid w:val="76D417EE"/>
    <w:rsid w:val="76E023A5"/>
    <w:rsid w:val="76E2215D"/>
    <w:rsid w:val="76ED5F8C"/>
    <w:rsid w:val="76EE28B0"/>
    <w:rsid w:val="76FF686B"/>
    <w:rsid w:val="77125072"/>
    <w:rsid w:val="77265B4F"/>
    <w:rsid w:val="773329B9"/>
    <w:rsid w:val="773A1F90"/>
    <w:rsid w:val="775F555C"/>
    <w:rsid w:val="77626DFA"/>
    <w:rsid w:val="77690189"/>
    <w:rsid w:val="776B5CAF"/>
    <w:rsid w:val="77731007"/>
    <w:rsid w:val="77732816"/>
    <w:rsid w:val="77775173"/>
    <w:rsid w:val="7778661E"/>
    <w:rsid w:val="77855149"/>
    <w:rsid w:val="7785787E"/>
    <w:rsid w:val="77882D05"/>
    <w:rsid w:val="77896B95"/>
    <w:rsid w:val="778B00FF"/>
    <w:rsid w:val="77974CF6"/>
    <w:rsid w:val="77981847"/>
    <w:rsid w:val="77AE4D89"/>
    <w:rsid w:val="77B91110"/>
    <w:rsid w:val="77B94075"/>
    <w:rsid w:val="77BA09E4"/>
    <w:rsid w:val="77BC475C"/>
    <w:rsid w:val="77C11D73"/>
    <w:rsid w:val="77C47AB5"/>
    <w:rsid w:val="77C7483F"/>
    <w:rsid w:val="77C875A5"/>
    <w:rsid w:val="77CB499F"/>
    <w:rsid w:val="77CD0717"/>
    <w:rsid w:val="77D143BC"/>
    <w:rsid w:val="77D73344"/>
    <w:rsid w:val="77DA4BE2"/>
    <w:rsid w:val="77DC4DFE"/>
    <w:rsid w:val="77DF044B"/>
    <w:rsid w:val="77E57021"/>
    <w:rsid w:val="77FC3D11"/>
    <w:rsid w:val="77FE4D75"/>
    <w:rsid w:val="78011BBD"/>
    <w:rsid w:val="780D4FB8"/>
    <w:rsid w:val="781D0955"/>
    <w:rsid w:val="78232A2D"/>
    <w:rsid w:val="782642CC"/>
    <w:rsid w:val="78441053"/>
    <w:rsid w:val="784E2738"/>
    <w:rsid w:val="78545D59"/>
    <w:rsid w:val="785D5F3F"/>
    <w:rsid w:val="7860333A"/>
    <w:rsid w:val="786372CE"/>
    <w:rsid w:val="78680440"/>
    <w:rsid w:val="786843B0"/>
    <w:rsid w:val="788A2AAC"/>
    <w:rsid w:val="78931961"/>
    <w:rsid w:val="78986F77"/>
    <w:rsid w:val="789A1D7E"/>
    <w:rsid w:val="789C3C45"/>
    <w:rsid w:val="78A21BA4"/>
    <w:rsid w:val="78AC47D1"/>
    <w:rsid w:val="78B43685"/>
    <w:rsid w:val="78B673FD"/>
    <w:rsid w:val="78B77608"/>
    <w:rsid w:val="78BE2756"/>
    <w:rsid w:val="78C77A2F"/>
    <w:rsid w:val="78D14237"/>
    <w:rsid w:val="78D4194A"/>
    <w:rsid w:val="78DA6F6F"/>
    <w:rsid w:val="78DB50B6"/>
    <w:rsid w:val="78E0447A"/>
    <w:rsid w:val="78EB2D0E"/>
    <w:rsid w:val="78EE4DE9"/>
    <w:rsid w:val="78F34220"/>
    <w:rsid w:val="78F9553C"/>
    <w:rsid w:val="78FF6FF6"/>
    <w:rsid w:val="79030169"/>
    <w:rsid w:val="79110AD8"/>
    <w:rsid w:val="79112886"/>
    <w:rsid w:val="792A3948"/>
    <w:rsid w:val="794E3ADA"/>
    <w:rsid w:val="79517074"/>
    <w:rsid w:val="7954564F"/>
    <w:rsid w:val="795804B5"/>
    <w:rsid w:val="79652436"/>
    <w:rsid w:val="7967694A"/>
    <w:rsid w:val="797F1EE5"/>
    <w:rsid w:val="79892D64"/>
    <w:rsid w:val="798B24F0"/>
    <w:rsid w:val="798C1241"/>
    <w:rsid w:val="79915775"/>
    <w:rsid w:val="799A0ACD"/>
    <w:rsid w:val="79A454A8"/>
    <w:rsid w:val="79D00993"/>
    <w:rsid w:val="79D03193"/>
    <w:rsid w:val="79DC16EA"/>
    <w:rsid w:val="79EB1329"/>
    <w:rsid w:val="79F71A7C"/>
    <w:rsid w:val="7A034F52"/>
    <w:rsid w:val="7A1F7224"/>
    <w:rsid w:val="7A2465E9"/>
    <w:rsid w:val="7A2860D9"/>
    <w:rsid w:val="7A2F4E58"/>
    <w:rsid w:val="7A3727C0"/>
    <w:rsid w:val="7A5769BE"/>
    <w:rsid w:val="7A5C3FD5"/>
    <w:rsid w:val="7A602571"/>
    <w:rsid w:val="7A6609A2"/>
    <w:rsid w:val="7A747570"/>
    <w:rsid w:val="7A756E44"/>
    <w:rsid w:val="7A796935"/>
    <w:rsid w:val="7A7E03EF"/>
    <w:rsid w:val="7A8157E9"/>
    <w:rsid w:val="7A884DCA"/>
    <w:rsid w:val="7A8A6D94"/>
    <w:rsid w:val="7A8B0247"/>
    <w:rsid w:val="7A8C48BA"/>
    <w:rsid w:val="7A962442"/>
    <w:rsid w:val="7A9674E6"/>
    <w:rsid w:val="7A980F48"/>
    <w:rsid w:val="7AA634A2"/>
    <w:rsid w:val="7AB23BF5"/>
    <w:rsid w:val="7ABB6F4D"/>
    <w:rsid w:val="7ABD2CC5"/>
    <w:rsid w:val="7ABE4C8F"/>
    <w:rsid w:val="7AC53928"/>
    <w:rsid w:val="7ACD0A2E"/>
    <w:rsid w:val="7AD63D87"/>
    <w:rsid w:val="7AD7365B"/>
    <w:rsid w:val="7ADA27D7"/>
    <w:rsid w:val="7ADB7CCE"/>
    <w:rsid w:val="7ADD519D"/>
    <w:rsid w:val="7AE244DA"/>
    <w:rsid w:val="7AE83ABA"/>
    <w:rsid w:val="7AEA338E"/>
    <w:rsid w:val="7AF64429"/>
    <w:rsid w:val="7AFB559C"/>
    <w:rsid w:val="7AFD7566"/>
    <w:rsid w:val="7B004ADD"/>
    <w:rsid w:val="7B09415C"/>
    <w:rsid w:val="7B193C74"/>
    <w:rsid w:val="7B236098"/>
    <w:rsid w:val="7B252618"/>
    <w:rsid w:val="7B276391"/>
    <w:rsid w:val="7B2E1F18"/>
    <w:rsid w:val="7B342D66"/>
    <w:rsid w:val="7B3650A3"/>
    <w:rsid w:val="7B3665D4"/>
    <w:rsid w:val="7B4D1A0C"/>
    <w:rsid w:val="7B566C76"/>
    <w:rsid w:val="7B6C0247"/>
    <w:rsid w:val="7B706986"/>
    <w:rsid w:val="7B735A7A"/>
    <w:rsid w:val="7B7D4202"/>
    <w:rsid w:val="7B841A35"/>
    <w:rsid w:val="7B971768"/>
    <w:rsid w:val="7B9D6653"/>
    <w:rsid w:val="7BA63759"/>
    <w:rsid w:val="7BB514DD"/>
    <w:rsid w:val="7BBA0FB3"/>
    <w:rsid w:val="7BC13896"/>
    <w:rsid w:val="7BD44A76"/>
    <w:rsid w:val="7BD535D9"/>
    <w:rsid w:val="7BD5403F"/>
    <w:rsid w:val="7BD83B2F"/>
    <w:rsid w:val="7BDD7EC8"/>
    <w:rsid w:val="7BDF4EBD"/>
    <w:rsid w:val="7BE14791"/>
    <w:rsid w:val="7BED75DA"/>
    <w:rsid w:val="7BF1074D"/>
    <w:rsid w:val="7BF72207"/>
    <w:rsid w:val="7C06244A"/>
    <w:rsid w:val="7C0671CA"/>
    <w:rsid w:val="7C091F3A"/>
    <w:rsid w:val="7C1B329E"/>
    <w:rsid w:val="7C354ADD"/>
    <w:rsid w:val="7C3A0345"/>
    <w:rsid w:val="7C3A66AB"/>
    <w:rsid w:val="7C3C5E6C"/>
    <w:rsid w:val="7C442F72"/>
    <w:rsid w:val="7C4E5B9F"/>
    <w:rsid w:val="7C5331B5"/>
    <w:rsid w:val="7C5A0F00"/>
    <w:rsid w:val="7C7575D0"/>
    <w:rsid w:val="7C7B2E38"/>
    <w:rsid w:val="7C7F3FAA"/>
    <w:rsid w:val="7C802E24"/>
    <w:rsid w:val="7C8F3120"/>
    <w:rsid w:val="7C914E71"/>
    <w:rsid w:val="7C977546"/>
    <w:rsid w:val="7C977F10"/>
    <w:rsid w:val="7C9932BE"/>
    <w:rsid w:val="7C9B5288"/>
    <w:rsid w:val="7CAD4FBB"/>
    <w:rsid w:val="7CAD6D69"/>
    <w:rsid w:val="7CAF0D75"/>
    <w:rsid w:val="7CB579CC"/>
    <w:rsid w:val="7CBE03EA"/>
    <w:rsid w:val="7CC06A9D"/>
    <w:rsid w:val="7CC145C3"/>
    <w:rsid w:val="7CC540B3"/>
    <w:rsid w:val="7CC759B6"/>
    <w:rsid w:val="7CC83BA3"/>
    <w:rsid w:val="7CCF0A8E"/>
    <w:rsid w:val="7CD95DB0"/>
    <w:rsid w:val="7CEC1640"/>
    <w:rsid w:val="7CED360A"/>
    <w:rsid w:val="7CF0542C"/>
    <w:rsid w:val="7CF84488"/>
    <w:rsid w:val="7CF95B0B"/>
    <w:rsid w:val="7CFA00AD"/>
    <w:rsid w:val="7D1E1A15"/>
    <w:rsid w:val="7D1F7C67"/>
    <w:rsid w:val="7D250FF6"/>
    <w:rsid w:val="7D2C7C8E"/>
    <w:rsid w:val="7D311748"/>
    <w:rsid w:val="7D382C7E"/>
    <w:rsid w:val="7D384885"/>
    <w:rsid w:val="7D3E5C13"/>
    <w:rsid w:val="7D4F1BCF"/>
    <w:rsid w:val="7D52719A"/>
    <w:rsid w:val="7D5438A7"/>
    <w:rsid w:val="7D584F27"/>
    <w:rsid w:val="7D5947FB"/>
    <w:rsid w:val="7D7A30EF"/>
    <w:rsid w:val="7D945C34"/>
    <w:rsid w:val="7D9D6DDE"/>
    <w:rsid w:val="7DB12040"/>
    <w:rsid w:val="7DB61C4E"/>
    <w:rsid w:val="7DC1616A"/>
    <w:rsid w:val="7DC600E3"/>
    <w:rsid w:val="7DC97BD3"/>
    <w:rsid w:val="7DDF2F52"/>
    <w:rsid w:val="7DED3CF7"/>
    <w:rsid w:val="7DEE7639"/>
    <w:rsid w:val="7E070C98"/>
    <w:rsid w:val="7E0C7AC0"/>
    <w:rsid w:val="7E1352F2"/>
    <w:rsid w:val="7E215319"/>
    <w:rsid w:val="7E2D0162"/>
    <w:rsid w:val="7E2D63B4"/>
    <w:rsid w:val="7E3643BE"/>
    <w:rsid w:val="7E435F80"/>
    <w:rsid w:val="7E4454AB"/>
    <w:rsid w:val="7E5A6A7D"/>
    <w:rsid w:val="7E655B4E"/>
    <w:rsid w:val="7E74499D"/>
    <w:rsid w:val="7E7F0292"/>
    <w:rsid w:val="7E8104AE"/>
    <w:rsid w:val="7E81225C"/>
    <w:rsid w:val="7E8458A8"/>
    <w:rsid w:val="7E885398"/>
    <w:rsid w:val="7E891110"/>
    <w:rsid w:val="7E8B4E88"/>
    <w:rsid w:val="7E8C5878"/>
    <w:rsid w:val="7E9815D8"/>
    <w:rsid w:val="7E991353"/>
    <w:rsid w:val="7E9F0934"/>
    <w:rsid w:val="7EA321D2"/>
    <w:rsid w:val="7EAB50F7"/>
    <w:rsid w:val="7EB0669D"/>
    <w:rsid w:val="7EBE2597"/>
    <w:rsid w:val="7EC108AA"/>
    <w:rsid w:val="7EC34622"/>
    <w:rsid w:val="7ED176A2"/>
    <w:rsid w:val="7ED72A0A"/>
    <w:rsid w:val="7ED93E46"/>
    <w:rsid w:val="7EDC0CFB"/>
    <w:rsid w:val="7EDC3936"/>
    <w:rsid w:val="7EE12CFA"/>
    <w:rsid w:val="7EE54599"/>
    <w:rsid w:val="7EFC7B34"/>
    <w:rsid w:val="7F0332B5"/>
    <w:rsid w:val="7F1734CD"/>
    <w:rsid w:val="7F192494"/>
    <w:rsid w:val="7F1B52F1"/>
    <w:rsid w:val="7F2132B4"/>
    <w:rsid w:val="7F271055"/>
    <w:rsid w:val="7F2C666B"/>
    <w:rsid w:val="7F2D7CEE"/>
    <w:rsid w:val="7F3C6183"/>
    <w:rsid w:val="7F4339B5"/>
    <w:rsid w:val="7F437511"/>
    <w:rsid w:val="7F463BFE"/>
    <w:rsid w:val="7F4734A5"/>
    <w:rsid w:val="7F4D213E"/>
    <w:rsid w:val="7F565496"/>
    <w:rsid w:val="7F570E2A"/>
    <w:rsid w:val="7F5E378E"/>
    <w:rsid w:val="7F625BE9"/>
    <w:rsid w:val="7F692316"/>
    <w:rsid w:val="7F6C4CBA"/>
    <w:rsid w:val="7F6D27E0"/>
    <w:rsid w:val="7F724BB2"/>
    <w:rsid w:val="7F73429A"/>
    <w:rsid w:val="7F802513"/>
    <w:rsid w:val="7F833DB1"/>
    <w:rsid w:val="7F855D7C"/>
    <w:rsid w:val="7F9452D1"/>
    <w:rsid w:val="7F9F508F"/>
    <w:rsid w:val="7FA04963"/>
    <w:rsid w:val="7FA36202"/>
    <w:rsid w:val="7FA53D28"/>
    <w:rsid w:val="7FAE52D2"/>
    <w:rsid w:val="7FAE7080"/>
    <w:rsid w:val="7FB87EFF"/>
    <w:rsid w:val="7FBA3C77"/>
    <w:rsid w:val="7FBB179D"/>
    <w:rsid w:val="7FBF303C"/>
    <w:rsid w:val="7FCC39AA"/>
    <w:rsid w:val="7FCE327F"/>
    <w:rsid w:val="7FE17456"/>
    <w:rsid w:val="7FE900B8"/>
    <w:rsid w:val="7FED25FE"/>
    <w:rsid w:val="7FF13411"/>
    <w:rsid w:val="7FF8790A"/>
    <w:rsid w:val="B4FDA2FA"/>
    <w:rsid w:val="B76E79CC"/>
    <w:rsid w:val="CFF12960"/>
    <w:rsid w:val="F3FF11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99" w:semiHidden="0" w:name="heading 3"/>
    <w:lsdException w:qFormat="1" w:uiPriority="9"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qFormat="1" w:uiPriority="99" w:semiHidden="0"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0"/>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5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5">
    <w:name w:val="heading 3"/>
    <w:basedOn w:val="1"/>
    <w:next w:val="4"/>
    <w:qFormat/>
    <w:uiPriority w:val="99"/>
    <w:pPr>
      <w:keepNext/>
      <w:keepLines/>
      <w:spacing w:line="415" w:lineRule="auto"/>
      <w:ind w:firstLine="137"/>
      <w:outlineLvl w:val="2"/>
    </w:pPr>
    <w:rPr>
      <w:rFonts w:hAnsi="黑体" w:eastAsia="黑体"/>
      <w:sz w:val="24"/>
      <w:szCs w:val="20"/>
    </w:rPr>
  </w:style>
  <w:style w:type="paragraph" w:styleId="6">
    <w:name w:val="heading 4"/>
    <w:basedOn w:val="1"/>
    <w:next w:val="1"/>
    <w:semiHidden/>
    <w:unhideWhenUsed/>
    <w:qFormat/>
    <w:uiPriority w:val="9"/>
    <w:pPr>
      <w:keepNext/>
      <w:keepLines/>
      <w:spacing w:before="80" w:after="40"/>
      <w:outlineLvl w:val="3"/>
    </w:pPr>
    <w:rPr>
      <w:rFonts w:asciiTheme="minorHAnsi" w:hAnsiTheme="minorHAnsi" w:eastAsiaTheme="minorEastAsia" w:cstheme="majorBidi"/>
      <w:color w:val="2E75B6" w:themeColor="accent1" w:themeShade="BF"/>
      <w:sz w:val="28"/>
      <w:szCs w:val="28"/>
    </w:rPr>
  </w:style>
  <w:style w:type="paragraph" w:styleId="7">
    <w:name w:val="heading 5"/>
    <w:basedOn w:val="1"/>
    <w:next w:val="1"/>
    <w:link w:val="5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8"/>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qFormat/>
    <w:uiPriority w:val="0"/>
    <w:pPr>
      <w:ind w:firstLine="420"/>
    </w:pPr>
  </w:style>
  <w:style w:type="paragraph" w:styleId="12">
    <w:name w:val="toc 7"/>
    <w:basedOn w:val="1"/>
    <w:next w:val="1"/>
    <w:unhideWhenUsed/>
    <w:qFormat/>
    <w:uiPriority w:val="39"/>
    <w:pPr>
      <w:spacing w:after="57"/>
      <w:ind w:left="1701" w:right="0" w:firstLine="0"/>
    </w:pPr>
  </w:style>
  <w:style w:type="paragraph" w:styleId="13">
    <w:name w:val="table of authorities"/>
    <w:basedOn w:val="1"/>
    <w:next w:val="1"/>
    <w:qFormat/>
    <w:uiPriority w:val="99"/>
    <w:pPr>
      <w:ind w:left="420"/>
    </w:p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index 5"/>
    <w:basedOn w:val="1"/>
    <w:next w:val="1"/>
    <w:qFormat/>
    <w:uiPriority w:val="0"/>
    <w:pPr>
      <w:ind w:left="1680"/>
    </w:pPr>
  </w:style>
  <w:style w:type="paragraph" w:styleId="16">
    <w:name w:val="Body Text"/>
    <w:basedOn w:val="1"/>
    <w:qFormat/>
    <w:uiPriority w:val="0"/>
    <w:rPr>
      <w:rFonts w:ascii="楷体" w:hAnsi="Arial" w:eastAsia="楷体"/>
      <w:sz w:val="28"/>
      <w:szCs w:val="20"/>
    </w:rPr>
  </w:style>
  <w:style w:type="paragraph" w:styleId="17">
    <w:name w:val="Body Text Indent"/>
    <w:basedOn w:val="1"/>
    <w:next w:val="18"/>
    <w:unhideWhenUsed/>
    <w:qFormat/>
    <w:uiPriority w:val="0"/>
    <w:pPr>
      <w:spacing w:line="360" w:lineRule="auto"/>
      <w:ind w:firstLine="557"/>
    </w:pPr>
    <w:rPr>
      <w:rFonts w:ascii="宋体" w:hAnsi="宋体"/>
      <w:color w:val="000000"/>
      <w:sz w:val="28"/>
      <w:szCs w:val="32"/>
    </w:rPr>
  </w:style>
  <w:style w:type="paragraph" w:styleId="18">
    <w:name w:val="envelope return"/>
    <w:basedOn w:val="1"/>
    <w:qFormat/>
    <w:uiPriority w:val="0"/>
    <w:rPr>
      <w:rFonts w:ascii="Arial" w:hAnsi="Arial" w:eastAsia="宋体" w:cs="Times New Roman"/>
    </w:rPr>
  </w:style>
  <w:style w:type="paragraph" w:styleId="19">
    <w:name w:val="Block Text"/>
    <w:basedOn w:val="1"/>
    <w:next w:val="6"/>
    <w:unhideWhenUsed/>
    <w:qFormat/>
    <w:uiPriority w:val="99"/>
    <w:pPr>
      <w:spacing w:after="120"/>
      <w:ind w:left="1440" w:right="1440"/>
    </w:p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qFormat/>
    <w:uiPriority w:val="0"/>
    <w:pPr>
      <w:spacing w:beforeLines="50" w:afterLines="50" w:line="400" w:lineRule="exact"/>
    </w:pPr>
    <w:rPr>
      <w:rFonts w:ascii="宋体" w:hAnsi="Courier New"/>
      <w:szCs w:val="20"/>
    </w:rPr>
  </w:style>
  <w:style w:type="paragraph" w:styleId="23">
    <w:name w:val="toc 8"/>
    <w:basedOn w:val="1"/>
    <w:next w:val="1"/>
    <w:unhideWhenUsed/>
    <w:qFormat/>
    <w:uiPriority w:val="39"/>
    <w:pPr>
      <w:spacing w:after="57"/>
      <w:ind w:left="1984" w:right="0" w:firstLine="0"/>
    </w:pPr>
  </w:style>
  <w:style w:type="paragraph" w:styleId="24">
    <w:name w:val="Body Text Indent 2"/>
    <w:basedOn w:val="1"/>
    <w:next w:val="1"/>
    <w:qFormat/>
    <w:uiPriority w:val="99"/>
    <w:pPr>
      <w:widowControl w:val="0"/>
      <w:spacing w:after="120" w:line="480" w:lineRule="auto"/>
      <w:ind w:left="640"/>
      <w:jc w:val="both"/>
    </w:pPr>
    <w:rPr>
      <w:rFonts w:ascii="Calibri" w:hAnsi="Calibri" w:eastAsia="仿宋_GB2312" w:cs="宋体"/>
      <w:sz w:val="32"/>
      <w:szCs w:val="28"/>
    </w:rPr>
  </w:style>
  <w:style w:type="paragraph" w:styleId="25">
    <w:name w:val="endnote text"/>
    <w:basedOn w:val="1"/>
    <w:link w:val="195"/>
    <w:semiHidden/>
    <w:unhideWhenUsed/>
    <w:qFormat/>
    <w:uiPriority w:val="99"/>
    <w:pPr>
      <w:spacing w:after="0" w:line="240" w:lineRule="auto"/>
    </w:pPr>
    <w:rPr>
      <w:sz w:val="20"/>
    </w:rPr>
  </w:style>
  <w:style w:type="paragraph" w:styleId="26">
    <w:name w:val="footer"/>
    <w:basedOn w:val="1"/>
    <w:link w:val="199"/>
    <w:qFormat/>
    <w:uiPriority w:val="0"/>
    <w:pPr>
      <w:tabs>
        <w:tab w:val="center" w:pos="4153"/>
        <w:tab w:val="right" w:pos="8306"/>
      </w:tabs>
      <w:jc w:val="left"/>
    </w:pPr>
    <w:rPr>
      <w:sz w:val="18"/>
      <w:szCs w:val="18"/>
    </w:rPr>
  </w:style>
  <w:style w:type="paragraph" w:styleId="27">
    <w:name w:val="header"/>
    <w:basedOn w:val="1"/>
    <w:link w:val="198"/>
    <w:qFormat/>
    <w:uiPriority w:val="0"/>
    <w:pPr>
      <w:pBdr>
        <w:bottom w:val="single" w:color="auto" w:sz="6" w:space="1"/>
      </w:pBdr>
      <w:tabs>
        <w:tab w:val="center" w:pos="4153"/>
        <w:tab w:val="right" w:pos="8306"/>
      </w:tabs>
      <w:jc w:val="center"/>
    </w:pPr>
    <w:rPr>
      <w:sz w:val="18"/>
      <w:szCs w:val="18"/>
    </w:rPr>
  </w:style>
  <w:style w:type="paragraph" w:styleId="28">
    <w:name w:val="toc 1"/>
    <w:basedOn w:val="1"/>
    <w:next w:val="1"/>
    <w:unhideWhenUsed/>
    <w:qFormat/>
    <w:uiPriority w:val="39"/>
    <w:pPr>
      <w:spacing w:after="57"/>
      <w:ind w:left="0" w:right="0" w:firstLine="0"/>
    </w:pPr>
  </w:style>
  <w:style w:type="paragraph" w:styleId="29">
    <w:name w:val="toc 4"/>
    <w:basedOn w:val="1"/>
    <w:next w:val="1"/>
    <w:qFormat/>
    <w:uiPriority w:val="0"/>
    <w:pPr>
      <w:ind w:left="1260"/>
    </w:pPr>
  </w:style>
  <w:style w:type="paragraph" w:styleId="30">
    <w:name w:val="Subtitle"/>
    <w:basedOn w:val="1"/>
    <w:next w:val="1"/>
    <w:link w:val="61"/>
    <w:qFormat/>
    <w:uiPriority w:val="11"/>
    <w:pPr>
      <w:spacing w:before="200" w:after="200"/>
    </w:pPr>
    <w:rPr>
      <w:sz w:val="24"/>
      <w:szCs w:val="24"/>
    </w:rPr>
  </w:style>
  <w:style w:type="paragraph" w:styleId="31">
    <w:name w:val="footnote text"/>
    <w:basedOn w:val="1"/>
    <w:link w:val="194"/>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qFormat/>
    <w:uiPriority w:val="39"/>
    <w:pPr>
      <w:spacing w:after="57"/>
      <w:ind w:left="2268" w:right="0" w:firstLine="0"/>
    </w:pPr>
  </w:style>
  <w:style w:type="paragraph" w:styleId="36">
    <w:name w:val="Normal (Web)"/>
    <w:basedOn w:val="1"/>
    <w:qFormat/>
    <w:uiPriority w:val="0"/>
    <w:pPr>
      <w:spacing w:beforeAutospacing="1" w:afterAutospacing="1"/>
      <w:jc w:val="left"/>
    </w:pPr>
    <w:rPr>
      <w:rFonts w:cs="Times New Roman"/>
      <w:sz w:val="24"/>
    </w:rPr>
  </w:style>
  <w:style w:type="paragraph" w:styleId="37">
    <w:name w:val="Title"/>
    <w:basedOn w:val="1"/>
    <w:next w:val="1"/>
    <w:link w:val="60"/>
    <w:qFormat/>
    <w:uiPriority w:val="10"/>
    <w:pPr>
      <w:spacing w:before="300" w:after="200"/>
      <w:contextualSpacing/>
    </w:pPr>
    <w:rPr>
      <w:sz w:val="48"/>
      <w:szCs w:val="48"/>
    </w:rPr>
  </w:style>
  <w:style w:type="paragraph" w:styleId="38">
    <w:name w:val="Body Text First Indent"/>
    <w:basedOn w:val="1"/>
    <w:next w:val="32"/>
    <w:qFormat/>
    <w:uiPriority w:val="99"/>
    <w:pPr>
      <w:spacing w:line="360" w:lineRule="auto"/>
      <w:ind w:firstLine="200"/>
    </w:pPr>
    <w:rPr>
      <w:rFonts w:ascii="仿宋_GB2312" w:eastAsia="仿宋_GB2312"/>
      <w:sz w:val="30"/>
      <w:szCs w:val="30"/>
    </w:rPr>
  </w:style>
  <w:style w:type="paragraph" w:styleId="39">
    <w:name w:val="Body Text First Indent 2"/>
    <w:basedOn w:val="17"/>
    <w:qFormat/>
    <w:uiPriority w:val="99"/>
    <w:pPr>
      <w:spacing w:line="360" w:lineRule="auto"/>
      <w:ind w:firstLine="420"/>
    </w:pPr>
    <w:rPr>
      <w:rFonts w:ascii="宋体" w:hAnsi="宋体" w:eastAsia="宋体" w:cs="宋体"/>
      <w:sz w:val="21"/>
      <w:szCs w:val="21"/>
    </w:rPr>
  </w:style>
  <w:style w:type="table" w:styleId="41">
    <w:name w:val="Table Grid"/>
    <w:basedOn w:val="40"/>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endnote reference"/>
    <w:basedOn w:val="42"/>
    <w:semiHidden/>
    <w:unhideWhenUsed/>
    <w:qFormat/>
    <w:uiPriority w:val="99"/>
    <w:rPr>
      <w:vertAlign w:val="superscript"/>
    </w:rPr>
  </w:style>
  <w:style w:type="character" w:styleId="44">
    <w:name w:val="page number"/>
    <w:basedOn w:val="42"/>
    <w:qFormat/>
    <w:uiPriority w:val="0"/>
  </w:style>
  <w:style w:type="character" w:styleId="45">
    <w:name w:val="Hyperlink"/>
    <w:basedOn w:val="42"/>
    <w:qFormat/>
    <w:uiPriority w:val="0"/>
    <w:rPr>
      <w:color w:val="0000FF"/>
      <w:u w:val="single"/>
    </w:rPr>
  </w:style>
  <w:style w:type="character" w:styleId="46">
    <w:name w:val="footnote reference"/>
    <w:basedOn w:val="42"/>
    <w:unhideWhenUsed/>
    <w:qFormat/>
    <w:uiPriority w:val="99"/>
    <w:rPr>
      <w:vertAlign w:val="superscript"/>
    </w:rPr>
  </w:style>
  <w:style w:type="paragraph" w:customStyle="1" w:styleId="47">
    <w:name w:val="Default"/>
    <w:qFormat/>
    <w:uiPriority w:val="0"/>
    <w:pPr>
      <w:widowControl w:val="0"/>
    </w:pPr>
    <w:rPr>
      <w:rFonts w:hint="default" w:ascii="仿宋_GB2312" w:hAnsi="Times New Roman" w:eastAsia="仿宋_GB2312" w:cs="仿宋_GB2312"/>
      <w:color w:val="000000"/>
      <w:sz w:val="24"/>
      <w:szCs w:val="24"/>
      <w:lang w:val="en-US" w:eastAsia="zh-CN" w:bidi="ar-SA"/>
    </w:rPr>
  </w:style>
  <w:style w:type="paragraph" w:customStyle="1" w:styleId="48">
    <w:name w:val="正文首行缩进1"/>
    <w:basedOn w:val="1"/>
    <w:next w:val="49"/>
    <w:qFormat/>
    <w:uiPriority w:val="99"/>
    <w:pPr>
      <w:spacing w:line="360" w:lineRule="auto"/>
      <w:ind w:firstLine="200"/>
    </w:pPr>
  </w:style>
  <w:style w:type="paragraph" w:customStyle="1" w:styleId="49">
    <w:name w:val="目录 61"/>
    <w:basedOn w:val="1"/>
    <w:next w:val="1"/>
    <w:unhideWhenUsed/>
    <w:qFormat/>
    <w:uiPriority w:val="39"/>
    <w:pPr>
      <w:ind w:left="2100"/>
    </w:pPr>
  </w:style>
  <w:style w:type="character" w:customStyle="1" w:styleId="50">
    <w:name w:val="Heading 1 Char"/>
    <w:basedOn w:val="42"/>
    <w:link w:val="2"/>
    <w:qFormat/>
    <w:uiPriority w:val="9"/>
    <w:rPr>
      <w:rFonts w:ascii="Arial" w:hAnsi="Arial" w:eastAsia="Arial" w:cs="Arial"/>
      <w:sz w:val="40"/>
      <w:szCs w:val="40"/>
    </w:rPr>
  </w:style>
  <w:style w:type="character" w:customStyle="1" w:styleId="51">
    <w:name w:val="Heading 2 Char"/>
    <w:basedOn w:val="42"/>
    <w:qFormat/>
    <w:uiPriority w:val="9"/>
    <w:rPr>
      <w:rFonts w:ascii="Arial" w:hAnsi="Arial" w:eastAsia="Arial" w:cs="Arial"/>
      <w:sz w:val="34"/>
    </w:rPr>
  </w:style>
  <w:style w:type="character" w:customStyle="1" w:styleId="52">
    <w:name w:val="Heading 3 Char"/>
    <w:basedOn w:val="42"/>
    <w:qFormat/>
    <w:uiPriority w:val="9"/>
    <w:rPr>
      <w:rFonts w:ascii="Arial" w:hAnsi="Arial" w:eastAsia="Arial" w:cs="Arial"/>
      <w:sz w:val="30"/>
      <w:szCs w:val="30"/>
    </w:rPr>
  </w:style>
  <w:style w:type="character" w:customStyle="1" w:styleId="53">
    <w:name w:val="Heading 4 Char"/>
    <w:basedOn w:val="42"/>
    <w:qFormat/>
    <w:uiPriority w:val="9"/>
    <w:rPr>
      <w:rFonts w:ascii="Arial" w:hAnsi="Arial" w:eastAsia="Arial" w:cs="Arial"/>
      <w:b/>
      <w:bCs/>
      <w:sz w:val="26"/>
      <w:szCs w:val="26"/>
    </w:rPr>
  </w:style>
  <w:style w:type="character" w:customStyle="1" w:styleId="54">
    <w:name w:val="Heading 5 Char"/>
    <w:basedOn w:val="42"/>
    <w:link w:val="7"/>
    <w:qFormat/>
    <w:uiPriority w:val="9"/>
    <w:rPr>
      <w:rFonts w:ascii="Arial" w:hAnsi="Arial" w:eastAsia="Arial" w:cs="Arial"/>
      <w:b/>
      <w:bCs/>
      <w:sz w:val="24"/>
      <w:szCs w:val="24"/>
    </w:rPr>
  </w:style>
  <w:style w:type="character" w:customStyle="1" w:styleId="55">
    <w:name w:val="Heading 6 Char"/>
    <w:basedOn w:val="42"/>
    <w:link w:val="8"/>
    <w:qFormat/>
    <w:uiPriority w:val="9"/>
    <w:rPr>
      <w:rFonts w:ascii="Arial" w:hAnsi="Arial" w:eastAsia="Arial" w:cs="Arial"/>
      <w:b/>
      <w:bCs/>
      <w:sz w:val="22"/>
      <w:szCs w:val="22"/>
    </w:rPr>
  </w:style>
  <w:style w:type="character" w:customStyle="1" w:styleId="56">
    <w:name w:val="Heading 7 Char"/>
    <w:basedOn w:val="42"/>
    <w:link w:val="9"/>
    <w:qFormat/>
    <w:uiPriority w:val="9"/>
    <w:rPr>
      <w:rFonts w:ascii="Arial" w:hAnsi="Arial" w:eastAsia="Arial" w:cs="Arial"/>
      <w:b/>
      <w:bCs/>
      <w:i/>
      <w:iCs/>
      <w:sz w:val="22"/>
      <w:szCs w:val="22"/>
    </w:rPr>
  </w:style>
  <w:style w:type="character" w:customStyle="1" w:styleId="57">
    <w:name w:val="Heading 8 Char"/>
    <w:basedOn w:val="42"/>
    <w:link w:val="10"/>
    <w:qFormat/>
    <w:uiPriority w:val="9"/>
    <w:rPr>
      <w:rFonts w:ascii="Arial" w:hAnsi="Arial" w:eastAsia="Arial" w:cs="Arial"/>
      <w:i/>
      <w:iCs/>
      <w:sz w:val="22"/>
      <w:szCs w:val="22"/>
    </w:rPr>
  </w:style>
  <w:style w:type="character" w:customStyle="1" w:styleId="58">
    <w:name w:val="Heading 9 Char"/>
    <w:basedOn w:val="42"/>
    <w:link w:val="11"/>
    <w:qFormat/>
    <w:uiPriority w:val="9"/>
    <w:rPr>
      <w:rFonts w:ascii="Arial" w:hAnsi="Arial" w:eastAsia="Arial" w:cs="Arial"/>
      <w:i/>
      <w:iCs/>
      <w:sz w:val="21"/>
      <w:szCs w:val="21"/>
    </w:rPr>
  </w:style>
  <w:style w:type="paragraph" w:styleId="59">
    <w:name w:val="List Paragraph"/>
    <w:basedOn w:val="1"/>
    <w:qFormat/>
    <w:uiPriority w:val="34"/>
    <w:pPr>
      <w:ind w:left="720"/>
      <w:contextualSpacing/>
    </w:pPr>
  </w:style>
  <w:style w:type="character" w:customStyle="1" w:styleId="60">
    <w:name w:val="Title Char"/>
    <w:basedOn w:val="42"/>
    <w:link w:val="37"/>
    <w:qFormat/>
    <w:uiPriority w:val="10"/>
    <w:rPr>
      <w:sz w:val="48"/>
      <w:szCs w:val="48"/>
    </w:rPr>
  </w:style>
  <w:style w:type="character" w:customStyle="1" w:styleId="61">
    <w:name w:val="Subtitle Char"/>
    <w:basedOn w:val="42"/>
    <w:link w:val="30"/>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qFormat/>
    <w:uiPriority w:val="30"/>
    <w:rPr>
      <w:i/>
    </w:rPr>
  </w:style>
  <w:style w:type="character" w:customStyle="1" w:styleId="66">
    <w:name w:val="Header Char"/>
    <w:basedOn w:val="42"/>
    <w:qFormat/>
    <w:uiPriority w:val="99"/>
  </w:style>
  <w:style w:type="character" w:customStyle="1" w:styleId="67">
    <w:name w:val="Footer Char"/>
    <w:basedOn w:val="42"/>
    <w:qFormat/>
    <w:uiPriority w:val="99"/>
  </w:style>
  <w:style w:type="character" w:customStyle="1" w:styleId="68">
    <w:name w:val="Caption Char"/>
    <w:qFormat/>
    <w:uiPriority w:val="99"/>
  </w:style>
  <w:style w:type="table" w:customStyle="1" w:styleId="69">
    <w:name w:val="Table Grid Light"/>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4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7">
    <w:name w:val="Grid Table 1 Light - Accent 2"/>
    <w:basedOn w:val="4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8">
    <w:name w:val="Grid Table 1 Light - Accent 3"/>
    <w:basedOn w:val="4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9">
    <w:name w:val="Grid Table 1 Light - Accent 4"/>
    <w:basedOn w:val="4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0">
    <w:name w:val="Grid Table 1 Light - Accent 5"/>
    <w:basedOn w:val="4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1">
    <w:name w:val="Grid Table 1 Light - Accent 6"/>
    <w:basedOn w:val="4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2">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4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4">
    <w:name w:val="Grid Table 2 - Accent 2"/>
    <w:basedOn w:val="4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5">
    <w:name w:val="Grid Table 2 - Accent 3"/>
    <w:basedOn w:val="4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6">
    <w:name w:val="Grid Table 2 - Accent 4"/>
    <w:basedOn w:val="4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7">
    <w:name w:val="Grid Table 2 - Accent 5"/>
    <w:basedOn w:val="4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8">
    <w:name w:val="Grid Table 2 - Accent 6"/>
    <w:basedOn w:val="4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9">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4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1">
    <w:name w:val="Grid Table 3 - Accent 2"/>
    <w:basedOn w:val="4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2">
    <w:name w:val="Grid Table 3 - Accent 3"/>
    <w:basedOn w:val="4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3">
    <w:name w:val="Grid Table 3 - Accent 4"/>
    <w:basedOn w:val="4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4">
    <w:name w:val="Grid Table 3 - Accent 5"/>
    <w:basedOn w:val="4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5">
    <w:name w:val="Grid Table 3 - Accent 6"/>
    <w:basedOn w:val="4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6">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40"/>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8">
    <w:name w:val="Grid Table 4 - Accent 2"/>
    <w:basedOn w:val="40"/>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9">
    <w:name w:val="Grid Table 4 - Accent 3"/>
    <w:basedOn w:val="40"/>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0">
    <w:name w:val="Grid Table 4 - Accent 4"/>
    <w:basedOn w:val="40"/>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1">
    <w:name w:val="Grid Table 4 - Accent 5"/>
    <w:basedOn w:val="40"/>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2">
    <w:name w:val="Grid Table 4 - Accent 6"/>
    <w:basedOn w:val="40"/>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3">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5">
    <w:name w:val="Grid Table 5 Dark - Accent 2"/>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6">
    <w:name w:val="Grid Table 5 Dark - Accent 3"/>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7">
    <w:name w:val="Grid Table 5 Dark- Accent 4"/>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8">
    <w:name w:val="Grid Table 5 Dark - Accent 5"/>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9">
    <w:name w:val="Grid Table 5 Dark - Accent 6"/>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0">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40"/>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4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40"/>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basedOn w:val="4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40"/>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6">
    <w:name w:val="Grid Table 6 Colorful - Accent 6"/>
    <w:basedOn w:val="40"/>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7">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40"/>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40"/>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40"/>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basedOn w:val="40"/>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40"/>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3">
    <w:name w:val="Grid Table 7 Colorful - Accent 6"/>
    <w:basedOn w:val="40"/>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4">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40"/>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6">
    <w:name w:val="List Table 1 Light - Accent 2"/>
    <w:basedOn w:val="40"/>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7">
    <w:name w:val="List Table 1 Light - Accent 3"/>
    <w:basedOn w:val="40"/>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8">
    <w:name w:val="List Table 1 Light - Accent 4"/>
    <w:basedOn w:val="40"/>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9">
    <w:name w:val="List Table 1 Light - Accent 5"/>
    <w:basedOn w:val="40"/>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0">
    <w:name w:val="List Table 1 Light - Accent 6"/>
    <w:basedOn w:val="40"/>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1">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40"/>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3">
    <w:name w:val="List Table 2 - Accent 2"/>
    <w:basedOn w:val="40"/>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4">
    <w:name w:val="List Table 2 - Accent 3"/>
    <w:basedOn w:val="40"/>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5">
    <w:name w:val="List Table 2 - Accent 4"/>
    <w:basedOn w:val="40"/>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6">
    <w:name w:val="List Table 2 - Accent 5"/>
    <w:basedOn w:val="40"/>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7">
    <w:name w:val="List Table 2 - Accent 6"/>
    <w:basedOn w:val="40"/>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8">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40"/>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0">
    <w:name w:val="List Table 3 - Accent 2"/>
    <w:basedOn w:val="4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1">
    <w:name w:val="List Table 3 - Accent 3"/>
    <w:basedOn w:val="40"/>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2">
    <w:name w:val="List Table 3 - Accent 4"/>
    <w:basedOn w:val="4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3">
    <w:name w:val="List Table 3 - Accent 5"/>
    <w:basedOn w:val="40"/>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4">
    <w:name w:val="List Table 3 - Accent 6"/>
    <w:basedOn w:val="40"/>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5">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40"/>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7">
    <w:name w:val="List Table 4 - Accent 2"/>
    <w:basedOn w:val="40"/>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8">
    <w:name w:val="List Table 4 - Accent 3"/>
    <w:basedOn w:val="40"/>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9">
    <w:name w:val="List Table 4 - Accent 4"/>
    <w:basedOn w:val="40"/>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0">
    <w:name w:val="List Table 4 - Accent 5"/>
    <w:basedOn w:val="40"/>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1">
    <w:name w:val="List Table 4 - Accent 6"/>
    <w:basedOn w:val="40"/>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2">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40"/>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4">
    <w:name w:val="List Table 5 Dark - Accent 2"/>
    <w:basedOn w:val="40"/>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5">
    <w:name w:val="List Table 5 Dark - Accent 3"/>
    <w:basedOn w:val="40"/>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6">
    <w:name w:val="List Table 5 Dark - Accent 4"/>
    <w:basedOn w:val="40"/>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7">
    <w:name w:val="List Table 5 Dark - Accent 5"/>
    <w:basedOn w:val="40"/>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8">
    <w:name w:val="List Table 5 Dark - Accent 6"/>
    <w:basedOn w:val="40"/>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9">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40"/>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1">
    <w:name w:val="List Table 6 Colorful - Accent 2"/>
    <w:basedOn w:val="40"/>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40"/>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40"/>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40"/>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40"/>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6">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40"/>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8">
    <w:name w:val="List Table 7 Colorful - Accent 2"/>
    <w:basedOn w:val="40"/>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40"/>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40"/>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40"/>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40"/>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4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40"/>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5">
    <w:name w:val="Lined - Accent 2"/>
    <w:basedOn w:val="40"/>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6">
    <w:name w:val="Lined - Accent 3"/>
    <w:basedOn w:val="40"/>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7">
    <w:name w:val="Lined - Accent 4"/>
    <w:basedOn w:val="40"/>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8">
    <w:name w:val="Lined - Accent 5"/>
    <w:basedOn w:val="40"/>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9">
    <w:name w:val="Lined - Accent 6"/>
    <w:basedOn w:val="40"/>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0">
    <w:name w:val="Bordered &amp; Lined - Accent"/>
    <w:basedOn w:val="4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40"/>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2">
    <w:name w:val="Bordered &amp; Lined - Accent 2"/>
    <w:basedOn w:val="40"/>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3">
    <w:name w:val="Bordered &amp; Lined - Accent 3"/>
    <w:basedOn w:val="40"/>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4">
    <w:name w:val="Bordered &amp; Lined - Accent 4"/>
    <w:basedOn w:val="40"/>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5">
    <w:name w:val="Bordered &amp; Lined - Accent 5"/>
    <w:basedOn w:val="40"/>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6">
    <w:name w:val="Bordered &amp; Lined - Accent 6"/>
    <w:basedOn w:val="40"/>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7">
    <w:name w:val="Bordered"/>
    <w:basedOn w:val="4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4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9">
    <w:name w:val="Bordered - Accent 2"/>
    <w:basedOn w:val="4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0">
    <w:name w:val="Bordered - Accent 3"/>
    <w:basedOn w:val="4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1">
    <w:name w:val="Bordered - Accent 4"/>
    <w:basedOn w:val="4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2">
    <w:name w:val="Bordered - Accent 5"/>
    <w:basedOn w:val="4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3">
    <w:name w:val="Bordered - Accent 6"/>
    <w:basedOn w:val="4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4">
    <w:name w:val="Footnote Text Char"/>
    <w:link w:val="31"/>
    <w:qFormat/>
    <w:uiPriority w:val="99"/>
    <w:rPr>
      <w:sz w:val="18"/>
    </w:rPr>
  </w:style>
  <w:style w:type="character" w:customStyle="1" w:styleId="195">
    <w:name w:val="Endnote Text Char"/>
    <w:link w:val="25"/>
    <w:qFormat/>
    <w:uiPriority w:val="99"/>
    <w:rPr>
      <w:sz w:val="20"/>
    </w:rPr>
  </w:style>
  <w:style w:type="paragraph" w:customStyle="1" w:styleId="196">
    <w:name w:val="TOC Heading"/>
    <w:unhideWhenUsed/>
    <w:qFormat/>
    <w:uiPriority w:val="39"/>
    <w:rPr>
      <w:rFonts w:hint="default" w:ascii="Times New Roman" w:hAnsi="Times New Roman" w:eastAsia="宋体" w:cs="Times New Roman"/>
    </w:rPr>
  </w:style>
  <w:style w:type="paragraph" w:customStyle="1" w:styleId="197">
    <w:name w:val="文本块1"/>
    <w:basedOn w:val="1"/>
    <w:qFormat/>
    <w:uiPriority w:val="99"/>
    <w:pPr>
      <w:tabs>
        <w:tab w:val="left" w:pos="9000"/>
      </w:tabs>
      <w:spacing w:after="120"/>
      <w:ind w:left="1440" w:right="1440"/>
    </w:pPr>
  </w:style>
  <w:style w:type="character" w:customStyle="1" w:styleId="198">
    <w:name w:val="页眉 Char"/>
    <w:basedOn w:val="42"/>
    <w:link w:val="27"/>
    <w:qFormat/>
    <w:uiPriority w:val="0"/>
    <w:rPr>
      <w:rFonts w:asciiTheme="minorHAnsi" w:hAnsiTheme="minorHAnsi" w:eastAsiaTheme="minorEastAsia" w:cstheme="minorBidi"/>
      <w:sz w:val="18"/>
      <w:szCs w:val="18"/>
    </w:rPr>
  </w:style>
  <w:style w:type="character" w:customStyle="1" w:styleId="199">
    <w:name w:val="页脚 Char"/>
    <w:basedOn w:val="42"/>
    <w:link w:val="26"/>
    <w:qFormat/>
    <w:uiPriority w:val="0"/>
    <w:rPr>
      <w:rFonts w:asciiTheme="minorHAnsi" w:hAnsiTheme="minorHAnsi" w:eastAsiaTheme="minorEastAsia" w:cstheme="minorBidi"/>
      <w:sz w:val="18"/>
      <w:szCs w:val="18"/>
    </w:rPr>
  </w:style>
  <w:style w:type="paragraph" w:customStyle="1" w:styleId="200">
    <w:name w:val="列出段落1"/>
    <w:basedOn w:val="1"/>
    <w:qFormat/>
    <w:uiPriority w:val="0"/>
    <w:pPr>
      <w:widowControl/>
      <w:ind w:left="720"/>
      <w:contextualSpacing/>
      <w:jc w:val="left"/>
    </w:pPr>
    <w:rPr>
      <w:sz w:val="24"/>
      <w:szCs w:val="24"/>
      <w:lang w:eastAsia="en-US" w:bidi="en-US"/>
    </w:rPr>
  </w:style>
  <w:style w:type="paragraph" w:customStyle="1" w:styleId="201">
    <w:name w:val="正文首行缩进 21"/>
    <w:basedOn w:val="202"/>
    <w:qFormat/>
    <w:uiPriority w:val="0"/>
    <w:pPr>
      <w:ind w:firstLine="200"/>
    </w:pPr>
    <w:rPr>
      <w:rFonts w:ascii="Times New Roman" w:hAnsi="Times New Roman" w:eastAsia="宋体" w:cs="Times New Roman"/>
    </w:rPr>
  </w:style>
  <w:style w:type="paragraph" w:customStyle="1" w:styleId="202">
    <w:name w:val="正文文本缩进 New"/>
    <w:basedOn w:val="203"/>
    <w:next w:val="204"/>
    <w:qFormat/>
    <w:uiPriority w:val="0"/>
    <w:pPr>
      <w:spacing w:after="120"/>
      <w:ind w:left="420"/>
    </w:pPr>
    <w:rPr>
      <w:rFonts w:ascii="Times New Roman" w:hAnsi="Times New Roman" w:eastAsia="宋体" w:cs="Times New Roman"/>
    </w:rPr>
  </w:style>
  <w:style w:type="paragraph" w:customStyle="1" w:styleId="203">
    <w:name w:val="正文 New"/>
    <w:next w:val="20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04">
    <w:name w:val="寄信人地址 New"/>
    <w:basedOn w:val="203"/>
    <w:qFormat/>
    <w:uiPriority w:val="0"/>
    <w:rPr>
      <w:rFonts w:ascii="Arial" w:hAnsi="Arial" w:eastAsia="宋体" w:cs="Times New Roman"/>
    </w:rPr>
  </w:style>
  <w:style w:type="character" w:customStyle="1" w:styleId="205">
    <w:name w:val="NormalCharacter"/>
    <w:qFormat/>
    <w:uiPriority w:val="0"/>
  </w:style>
  <w:style w:type="character" w:customStyle="1" w:styleId="206">
    <w:name w:val="font41"/>
    <w:basedOn w:val="42"/>
    <w:qFormat/>
    <w:uiPriority w:val="0"/>
    <w:rPr>
      <w:rFonts w:hint="default" w:ascii="Times New Roman" w:hAnsi="Times New Roman" w:cs="Times New Roman"/>
      <w:color w:val="000000"/>
      <w:sz w:val="21"/>
      <w:szCs w:val="21"/>
      <w:u w:val="none"/>
    </w:rPr>
  </w:style>
  <w:style w:type="character" w:customStyle="1" w:styleId="207">
    <w:name w:val="font21"/>
    <w:basedOn w:val="42"/>
    <w:qFormat/>
    <w:uiPriority w:val="0"/>
    <w:rPr>
      <w:rFonts w:hint="eastAsia" w:ascii="宋体" w:hAnsi="宋体" w:eastAsia="宋体" w:cs="宋体"/>
      <w:color w:val="000000"/>
      <w:sz w:val="21"/>
      <w:szCs w:val="21"/>
      <w:u w:val="none"/>
    </w:rPr>
  </w:style>
  <w:style w:type="paragraph" w:customStyle="1" w:styleId="208">
    <w:name w:val="普通正文"/>
    <w:basedOn w:val="1"/>
    <w:qFormat/>
    <w:uiPriority w:val="99"/>
    <w:pPr>
      <w:spacing w:before="120" w:after="120" w:line="360" w:lineRule="auto"/>
      <w:ind w:firstLine="480"/>
      <w:jc w:val="left"/>
    </w:pPr>
    <w:rPr>
      <w:rFonts w:ascii="Arial" w:hAnsi="Arial" w:cs="Arial"/>
      <w:sz w:val="24"/>
      <w:szCs w:val="24"/>
    </w:rPr>
  </w:style>
  <w:style w:type="paragraph" w:styleId="209">
    <w:name w:val="No Spacing"/>
    <w:qFormat/>
    <w:uiPriority w:val="1"/>
    <w:pPr>
      <w:widowControl w:val="0"/>
      <w:ind w:firstLine="200"/>
      <w:jc w:val="both"/>
    </w:pPr>
    <w:rPr>
      <w:rFonts w:hint="default" w:ascii="Calibri" w:hAnsi="Calibri" w:eastAsia="宋体" w:cs="Times New Roman"/>
      <w:sz w:val="28"/>
      <w:szCs w:val="22"/>
      <w:lang w:val="en-US" w:eastAsia="zh-CN" w:bidi="ar-SA"/>
    </w:rPr>
  </w:style>
  <w:style w:type="character" w:customStyle="1" w:styleId="210">
    <w:name w:val="NormalCharacter1"/>
    <w:link w:val="1"/>
    <w:qFormat/>
    <w:uiPriority w:val="0"/>
    <w:rPr>
      <w:rFonts w:asciiTheme="minorHAnsi" w:hAnsiTheme="minorHAnsi" w:eastAsiaTheme="minorEastAsia" w:cstheme="minorBidi"/>
      <w:sz w:val="21"/>
      <w:szCs w:val="24"/>
      <w:lang w:val="en-US" w:eastAsia="zh-CN" w:bidi="ar-SA"/>
    </w:rPr>
  </w:style>
  <w:style w:type="paragraph" w:customStyle="1" w:styleId="211">
    <w:name w:val="普通(网站)1"/>
    <w:basedOn w:val="1"/>
    <w:qFormat/>
    <w:uiPriority w:val="99"/>
    <w:pPr>
      <w:widowControl/>
      <w:spacing w:before="100" w:beforeAutospacing="1" w:after="100" w:afterAutospacing="1"/>
    </w:pPr>
    <w:rPr>
      <w:sz w:val="24"/>
    </w:rPr>
  </w:style>
  <w:style w:type="character" w:customStyle="1" w:styleId="212">
    <w:name w:val="font11"/>
    <w:basedOn w:val="42"/>
    <w:qFormat/>
    <w:uiPriority w:val="0"/>
    <w:rPr>
      <w:rFonts w:asciiTheme="minorHAnsi" w:hAnsiTheme="minorHAnsi" w:eastAsiaTheme="minorEastAsia" w:cstheme="minorBidi"/>
      <w:sz w:val="21"/>
      <w:szCs w:val="24"/>
      <w:lang w:val="en-US" w:eastAsia="zh-CN" w:bidi="ar-SA"/>
    </w:rPr>
  </w:style>
  <w:style w:type="character" w:customStyle="1" w:styleId="213">
    <w:name w:val="font51"/>
    <w:basedOn w:val="42"/>
    <w:qFormat/>
    <w:uiPriority w:val="0"/>
    <w:rPr>
      <w:rFonts w:ascii="方正兰亭黑_GBK" w:hAnsi="方正兰亭黑_GBK" w:eastAsia="方正兰亭黑_GBK" w:cs="方正兰亭黑_GBK"/>
      <w:color w:val="000000"/>
      <w:sz w:val="20"/>
      <w:szCs w:val="20"/>
      <w:u w:val="none"/>
    </w:rPr>
  </w:style>
  <w:style w:type="character" w:customStyle="1" w:styleId="214">
    <w:name w:val="font61"/>
    <w:basedOn w:val="42"/>
    <w:qFormat/>
    <w:uiPriority w:val="0"/>
    <w:rPr>
      <w:rFonts w:ascii="方正兰亭黑_GBK" w:hAnsi="方正兰亭黑_GBK" w:eastAsia="方正兰亭黑_GBK" w:cs="方正兰亭黑_GBK"/>
      <w:color w:val="000000"/>
      <w:sz w:val="20"/>
      <w:szCs w:val="20"/>
      <w:u w:val="none"/>
    </w:rPr>
  </w:style>
  <w:style w:type="character" w:customStyle="1" w:styleId="215">
    <w:name w:val="font01"/>
    <w:basedOn w:val="42"/>
    <w:qFormat/>
    <w:uiPriority w:val="0"/>
    <w:rPr>
      <w:rFonts w:hint="eastAsia" w:ascii="宋体" w:hAnsi="宋体" w:eastAsia="宋体" w:cs="宋体"/>
      <w:color w:val="000000"/>
      <w:sz w:val="22"/>
      <w:szCs w:val="22"/>
      <w:u w:val="none"/>
    </w:rPr>
  </w:style>
  <w:style w:type="character" w:customStyle="1" w:styleId="216">
    <w:name w:val="font31"/>
    <w:basedOn w:val="42"/>
    <w:qFormat/>
    <w:uiPriority w:val="0"/>
    <w:rPr>
      <w:rFonts w:hint="default" w:ascii="仿宋_GB2312" w:eastAsia="仿宋_GB2312" w:cs="仿宋_GB2312"/>
      <w:color w:val="000000"/>
      <w:sz w:val="20"/>
      <w:szCs w:val="20"/>
      <w:u w:val="none"/>
    </w:rPr>
  </w:style>
  <w:style w:type="paragraph" w:customStyle="1" w:styleId="217">
    <w:name w:val="Body text|1"/>
    <w:basedOn w:val="1"/>
    <w:qFormat/>
    <w:uiPriority w:val="0"/>
    <w:pPr>
      <w:widowControl w:val="0"/>
      <w:shd w:val="clear" w:color="auto" w:fill="auto"/>
      <w:spacing w:line="396" w:lineRule="auto"/>
      <w:ind w:firstLine="400"/>
      <w:jc w:val="both"/>
    </w:pPr>
    <w:rPr>
      <w:rFonts w:ascii="宋体" w:eastAsia="宋体" w:cs="宋体"/>
      <w:kern w:val="2"/>
      <w:sz w:val="30"/>
      <w:szCs w:val="30"/>
      <w:u w:val="none"/>
      <w:shd w:val="clear" w:color="auto" w:fill="auto"/>
      <w:lang w:val="zh-TW" w:eastAsia="zh-TW" w:bidi="zh-TW"/>
    </w:rPr>
  </w:style>
  <w:style w:type="paragraph" w:customStyle="1" w:styleId="218">
    <w:name w:val="标题 11"/>
    <w:basedOn w:val="1"/>
    <w:next w:val="1"/>
    <w:qFormat/>
    <w:uiPriority w:val="0"/>
    <w:pPr>
      <w:keepNext/>
      <w:jc w:val="center"/>
      <w:outlineLvl w:val="0"/>
    </w:pPr>
    <w:rPr>
      <w:rFonts w:ascii="楷体_GB2312" w:eastAsia="楷体_GB2312"/>
      <w:sz w:val="28"/>
      <w:szCs w:val="28"/>
    </w:rPr>
  </w:style>
  <w:style w:type="paragraph" w:customStyle="1" w:styleId="219">
    <w:name w:val="普通(网站)1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20">
    <w:name w:val="普通(网站)112"/>
    <w:basedOn w:val="1"/>
    <w:qFormat/>
    <w:uiPriority w:val="0"/>
    <w:pPr>
      <w:spacing w:beforeAutospacing="1" w:afterAutospacing="1"/>
      <w:jc w:val="left"/>
    </w:pPr>
    <w:rPr>
      <w:sz w:val="24"/>
    </w:rPr>
  </w:style>
  <w:style w:type="paragraph" w:customStyle="1" w:styleId="221">
    <w:name w:val="页脚11"/>
    <w:basedOn w:val="1"/>
    <w:qFormat/>
    <w:uiPriority w:val="99"/>
    <w:pPr>
      <w:tabs>
        <w:tab w:val="center" w:pos="4153"/>
        <w:tab w:val="right" w:pos="8306"/>
      </w:tabs>
      <w:jc w:val="left"/>
    </w:pPr>
    <w:rPr>
      <w:sz w:val="18"/>
    </w:rPr>
  </w:style>
  <w:style w:type="paragraph" w:customStyle="1" w:styleId="222">
    <w:name w:val="纯文本1"/>
    <w:basedOn w:val="1"/>
    <w:qFormat/>
    <w:uiPriority w:val="0"/>
    <w:rPr>
      <w:rFonts w:ascii="宋体" w:hAnsi="Courier New"/>
      <w:szCs w:val="20"/>
    </w:rPr>
  </w:style>
  <w:style w:type="table" w:customStyle="1" w:styleId="223">
    <w:name w:val="Table Normal"/>
    <w:semiHidden/>
    <w:unhideWhenUsed/>
    <w:qFormat/>
    <w:uiPriority w:val="0"/>
    <w:tblPr>
      <w:tblCellMar>
        <w:top w:w="0" w:type="dxa"/>
        <w:left w:w="0" w:type="dxa"/>
        <w:bottom w:w="0" w:type="dxa"/>
        <w:right w:w="0" w:type="dxa"/>
      </w:tblCellMar>
    </w:tblPr>
  </w:style>
  <w:style w:type="paragraph" w:customStyle="1" w:styleId="224">
    <w:name w:val="Table Text"/>
    <w:basedOn w:val="1"/>
    <w:semiHidden/>
    <w:qFormat/>
    <w:uiPriority w:val="0"/>
    <w:rPr>
      <w:rFonts w:ascii="Constantia" w:hAnsi="Constantia" w:eastAsia="Constantia" w:cs="Constantia"/>
      <w:sz w:val="23"/>
      <w:szCs w:val="23"/>
      <w:lang w:val="en-US" w:eastAsia="en-US" w:bidi="ar-SA"/>
    </w:rPr>
  </w:style>
  <w:style w:type="paragraph" w:customStyle="1" w:styleId="225">
    <w:name w:val="正文缩进11"/>
    <w:basedOn w:val="1"/>
    <w:qFormat/>
    <w:uiPriority w:val="0"/>
    <w:pPr>
      <w:ind w:firstLine="420"/>
    </w:pPr>
  </w:style>
  <w:style w:type="character" w:customStyle="1" w:styleId="226">
    <w:name w:val="font161"/>
    <w:basedOn w:val="42"/>
    <w:autoRedefine/>
    <w:qFormat/>
    <w:uiPriority w:val="0"/>
    <w:rPr>
      <w:rFonts w:hint="eastAsia" w:ascii="宋体" w:hAnsi="宋体" w:eastAsia="宋体" w:cs="宋体"/>
      <w:color w:val="FF0000"/>
      <w:sz w:val="16"/>
      <w:szCs w:val="16"/>
      <w:u w:val="none"/>
    </w:rPr>
  </w:style>
  <w:style w:type="paragraph" w:customStyle="1" w:styleId="227">
    <w:name w:val="无间隔1"/>
    <w:basedOn w:val="1"/>
    <w:qFormat/>
    <w:uiPriority w:val="0"/>
    <w:rPr>
      <w:rFonts w:ascii="Calibri" w:hAnsi="Calibri"/>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50</Pages>
  <Words>27401</Words>
  <Characters>29168</Characters>
  <TotalTime>37</TotalTime>
  <ScaleCrop>false</ScaleCrop>
  <LinksUpToDate>false</LinksUpToDate>
  <CharactersWithSpaces>31193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2014-10-30T04:08:00Z</dcterms:created>
  <dc:creator>正式环境陈艳测试账号</dc:creator>
  <cp:lastModifiedBy>郑晨生</cp:lastModifiedBy>
  <cp:lastPrinted>2025-11-13T00:49:00Z</cp:lastPrinted>
  <dcterms:modified xsi:type="dcterms:W3CDTF">2025-11-17T01:02:43Z</dcterms:modified>
  <cp:revision>273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9BE44FB029154490801C5A0CE5BB992C_13</vt:lpwstr>
  </property>
  <property fmtid="{D5CDD505-2E9C-101B-9397-08002B2CF9AE}" pid="4" name="KSOTemplateDocerSaveRecord">
    <vt:lpwstr>eyJoZGlkIjoiNWNhYjVjYzkxNWYwMGYyY2Y0Njk0YzBiMmRkODcxZTYiLCJ1c2VySWQiOiIxMjIxMDI1Nzk4In0=</vt:lpwstr>
  </property>
</Properties>
</file>